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keepNext w:val="true"/>
        <w:numPr>
          <w:ilvl w:val="0"/>
          <w:numId w:val="0"/>
        </w:numPr>
        <w:spacing w:lineRule="auto" w:line="240" w:beforeAutospacing="1" w:afterAutospacing="1"/>
        <w:ind w:left="0" w:hanging="0"/>
        <w:outlineLvl w:val="0"/>
        <w:rPr>
          <w:rFonts w:ascii="Times New Roman" w:hAnsi="Times New Roman"/>
          <w:b/>
          <w:b/>
          <w:bCs/>
          <w:kern w:val="2"/>
          <w:sz w:val="28"/>
          <w:szCs w:val="28"/>
          <w:lang w:eastAsia="ru-RU"/>
        </w:rPr>
      </w:pPr>
      <w:r>
        <w:rPr>
          <w:rFonts w:ascii="Times New Roman" w:hAnsi="Times New Roman"/>
          <w:b/>
          <w:bCs/>
          <w:kern w:val="2"/>
          <w:sz w:val="28"/>
          <w:szCs w:val="28"/>
          <w:lang w:eastAsia="ru-RU"/>
        </w:rPr>
      </w:r>
    </w:p>
    <w:p>
      <w:pPr>
        <w:pStyle w:val="Normal"/>
        <w:keepNext w:val="true"/>
        <w:numPr>
          <w:ilvl w:val="0"/>
          <w:numId w:val="0"/>
        </w:numPr>
        <w:spacing w:lineRule="auto" w:line="240" w:beforeAutospacing="1" w:afterAutospacing="1"/>
        <w:ind w:left="0" w:hanging="0"/>
        <w:jc w:val="center"/>
        <w:outlineLvl w:val="0"/>
        <w:rPr>
          <w:rFonts w:ascii="Times New Roman" w:hAnsi="Times New Roman"/>
          <w:b/>
          <w:b/>
          <w:bCs/>
          <w:kern w:val="2"/>
          <w:sz w:val="28"/>
          <w:szCs w:val="28"/>
          <w:lang w:eastAsia="ru-RU"/>
        </w:rPr>
      </w:pPr>
      <w:r>
        <w:rPr>
          <w:rFonts w:ascii="Times New Roman" w:hAnsi="Times New Roman"/>
          <w:b/>
          <w:bCs/>
          <w:kern w:val="2"/>
          <w:sz w:val="28"/>
          <w:szCs w:val="28"/>
          <w:lang w:eastAsia="ru-RU"/>
        </w:rPr>
        <w:t xml:space="preserve">Учетная политика  муниципального бюджетного дошкольного образовательного учреждения «Детский сад № 157 г.Челябинска» </w:t>
      </w:r>
    </w:p>
    <w:p>
      <w:pPr>
        <w:pStyle w:val="Normal"/>
        <w:numPr>
          <w:ilvl w:val="0"/>
          <w:numId w:val="0"/>
        </w:numPr>
        <w:spacing w:lineRule="auto" w:line="240" w:beforeAutospacing="1" w:afterAutospacing="1"/>
        <w:ind w:left="0" w:hanging="0"/>
        <w:jc w:val="center"/>
        <w:outlineLvl w:val="0"/>
        <w:rPr>
          <w:rFonts w:ascii="Times New Roman" w:hAnsi="Times New Roman"/>
          <w:b/>
          <w:b/>
          <w:bCs/>
          <w:kern w:val="2"/>
          <w:sz w:val="28"/>
          <w:szCs w:val="28"/>
          <w:lang w:eastAsia="ru-RU"/>
        </w:rPr>
      </w:pPr>
      <w:r>
        <w:rPr>
          <w:rFonts w:ascii="Times New Roman" w:hAnsi="Times New Roman"/>
          <w:b/>
          <w:bCs/>
          <w:kern w:val="2"/>
          <w:sz w:val="28"/>
          <w:szCs w:val="28"/>
          <w:lang w:eastAsia="ru-RU"/>
        </w:rPr>
        <w:t>на 2021 год</w:t>
      </w:r>
    </w:p>
    <w:p>
      <w:pPr>
        <w:pStyle w:val="Normal"/>
        <w:keepNext w:val="true"/>
        <w:numPr>
          <w:ilvl w:val="0"/>
          <w:numId w:val="0"/>
        </w:numPr>
        <w:spacing w:lineRule="auto" w:line="240" w:beforeAutospacing="1" w:afterAutospacing="1"/>
        <w:ind w:left="0" w:hanging="0"/>
        <w:jc w:val="center"/>
        <w:outlineLvl w:val="0"/>
        <w:rPr>
          <w:rFonts w:ascii="Times New Roman" w:hAnsi="Times New Roman"/>
          <w:b/>
          <w:b/>
          <w:bCs/>
          <w:kern w:val="2"/>
          <w:sz w:val="24"/>
          <w:szCs w:val="24"/>
          <w:lang w:eastAsia="ru-RU"/>
        </w:rPr>
      </w:pPr>
      <w:r>
        <w:rPr>
          <w:rFonts w:ascii="Times New Roman" w:hAnsi="Times New Roman"/>
          <w:b/>
          <w:bCs/>
          <w:kern w:val="2"/>
          <w:sz w:val="24"/>
          <w:szCs w:val="24"/>
          <w:lang w:eastAsia="ru-RU"/>
        </w:rPr>
        <w:t>_____________________________________________________</w:t>
      </w:r>
    </w:p>
    <w:p>
      <w:pPr>
        <w:pStyle w:val="Normal"/>
        <w:keepNext w:val="true"/>
        <w:numPr>
          <w:ilvl w:val="0"/>
          <w:numId w:val="0"/>
        </w:numPr>
        <w:spacing w:lineRule="auto" w:line="240" w:beforeAutospacing="1" w:afterAutospacing="1"/>
        <w:ind w:left="0" w:hanging="0"/>
        <w:jc w:val="center"/>
        <w:outlineLvl w:val="0"/>
        <w:rPr>
          <w:rFonts w:ascii="Times New Roman" w:hAnsi="Times New Roman"/>
          <w:b/>
          <w:b/>
          <w:bCs/>
          <w:kern w:val="2"/>
          <w:sz w:val="24"/>
          <w:szCs w:val="24"/>
          <w:lang w:eastAsia="ru-RU"/>
        </w:rPr>
      </w:pPr>
      <w:r>
        <w:rPr>
          <w:rFonts w:ascii="Times New Roman" w:hAnsi="Times New Roman"/>
          <w:b/>
          <w:bCs/>
          <w:kern w:val="2"/>
          <w:sz w:val="24"/>
          <w:szCs w:val="24"/>
          <w:lang w:eastAsia="ru-RU"/>
        </w:rPr>
        <w:t>Общие положения</w:t>
      </w:r>
    </w:p>
    <w:p>
      <w:pPr>
        <w:pStyle w:val="Normal"/>
        <w:keepNext w:val="true"/>
        <w:numPr>
          <w:ilvl w:val="0"/>
          <w:numId w:val="0"/>
        </w:numPr>
        <w:spacing w:lineRule="auto" w:line="240" w:beforeAutospacing="1" w:afterAutospacing="1"/>
        <w:ind w:left="0" w:hanging="0"/>
        <w:jc w:val="center"/>
        <w:outlineLvl w:val="0"/>
        <w:rPr>
          <w:rFonts w:ascii="Times New Roman" w:hAnsi="Times New Roman"/>
          <w:b/>
          <w:b/>
          <w:bCs/>
          <w:kern w:val="2"/>
          <w:sz w:val="24"/>
          <w:szCs w:val="24"/>
          <w:lang w:eastAsia="ru-RU"/>
        </w:rPr>
      </w:pPr>
      <w:r>
        <w:rPr>
          <w:rFonts w:ascii="Times New Roman" w:hAnsi="Times New Roman"/>
          <w:b/>
          <w:bCs/>
          <w:kern w:val="2"/>
          <w:sz w:val="24"/>
          <w:szCs w:val="24"/>
          <w:lang w:eastAsia="ru-RU"/>
        </w:rPr>
        <w:t>Нормативные документы</w:t>
      </w:r>
    </w:p>
    <w:p>
      <w:pPr>
        <w:pStyle w:val="Normal"/>
        <w:spacing w:lineRule="auto" w:line="240" w:beforeAutospacing="1" w:afterAutospacing="1"/>
        <w:ind w:firstLine="540"/>
        <w:jc w:val="both"/>
        <w:rPr>
          <w:rFonts w:ascii="Times New Roman" w:hAnsi="Times New Roman"/>
          <w:sz w:val="24"/>
          <w:szCs w:val="24"/>
          <w:lang w:eastAsia="ru-RU"/>
        </w:rPr>
      </w:pPr>
      <w:r>
        <w:rPr>
          <w:rFonts w:ascii="Times New Roman" w:hAnsi="Times New Roman"/>
          <w:sz w:val="24"/>
          <w:szCs w:val="24"/>
          <w:lang w:eastAsia="ru-RU"/>
        </w:rPr>
        <w:t>Настоящая учетная политика предназначена для формирования полной и достоверной информации о финансовом, имущественном положении и финансовых результатах деятельности муниципального дошкольного бюджетного образовательного учреждения «Детский сад № 157» (далее – Учреждение):</w:t>
      </w:r>
    </w:p>
    <w:p>
      <w:pPr>
        <w:pStyle w:val="Normal"/>
        <w:spacing w:lineRule="auto" w:line="240" w:beforeAutospacing="1" w:afterAutospacing="1"/>
        <w:ind w:firstLine="540"/>
        <w:jc w:val="both"/>
        <w:rPr>
          <w:rFonts w:ascii="Times New Roman" w:hAnsi="Times New Roman"/>
          <w:sz w:val="24"/>
          <w:szCs w:val="24"/>
          <w:lang w:eastAsia="ru-RU"/>
        </w:rPr>
      </w:pPr>
      <w:r>
        <w:rPr>
          <w:rFonts w:ascii="Times New Roman" w:hAnsi="Times New Roman"/>
          <w:sz w:val="24"/>
          <w:szCs w:val="24"/>
          <w:lang w:eastAsia="ru-RU"/>
        </w:rPr>
        <w:t xml:space="preserve">Настоящая Учетная политика разработана на основании и с учетом требований и принципов, изложенных в следующих нормативных документах: </w:t>
      </w:r>
    </w:p>
    <w:p>
      <w:pPr>
        <w:pStyle w:val="Normal"/>
        <w:numPr>
          <w:ilvl w:val="0"/>
          <w:numId w:val="7"/>
        </w:numPr>
        <w:spacing w:lineRule="auto" w:line="240" w:beforeAutospacing="1" w:after="0"/>
        <w:ind w:left="709" w:hanging="360"/>
        <w:jc w:val="both"/>
        <w:rPr>
          <w:rFonts w:ascii="Times New Roman" w:hAnsi="Times New Roman"/>
          <w:sz w:val="24"/>
          <w:szCs w:val="24"/>
          <w:lang w:eastAsia="ru-RU"/>
        </w:rPr>
      </w:pPr>
      <w:r>
        <w:rPr>
          <w:rFonts w:ascii="Times New Roman" w:hAnsi="Times New Roman"/>
          <w:sz w:val="24"/>
          <w:szCs w:val="24"/>
          <w:lang w:eastAsia="ru-RU"/>
        </w:rPr>
        <w:t>Федеральный закон "О бухгалтерском учете" от 06.12.2011г. № 402-ФЗ (далее – Закон 402-ФЗ)</w:t>
      </w:r>
    </w:p>
    <w:p>
      <w:pPr>
        <w:pStyle w:val="Normal"/>
        <w:numPr>
          <w:ilvl w:val="0"/>
          <w:numId w:val="7"/>
        </w:numPr>
        <w:spacing w:lineRule="auto" w:line="240" w:before="0" w:after="0"/>
        <w:ind w:left="709" w:hanging="360"/>
        <w:jc w:val="both"/>
        <w:rPr>
          <w:rFonts w:ascii="Times New Roman" w:hAnsi="Times New Roman"/>
          <w:sz w:val="24"/>
          <w:szCs w:val="24"/>
          <w:lang w:eastAsia="ru-RU"/>
        </w:rPr>
      </w:pPr>
      <w:r>
        <w:rPr>
          <w:rFonts w:ascii="Times New Roman" w:hAnsi="Times New Roman"/>
          <w:sz w:val="24"/>
          <w:szCs w:val="24"/>
          <w:lang w:eastAsia="ru-RU"/>
        </w:rPr>
        <w:t>Приказ Минфина России от 31.12.2016 N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(далее – Приказ 256н)</w:t>
      </w:r>
    </w:p>
    <w:p>
      <w:pPr>
        <w:pStyle w:val="Normal"/>
        <w:numPr>
          <w:ilvl w:val="0"/>
          <w:numId w:val="7"/>
        </w:numPr>
        <w:spacing w:lineRule="auto" w:line="240" w:before="0" w:after="0"/>
        <w:ind w:left="709" w:hanging="360"/>
        <w:jc w:val="both"/>
        <w:rPr>
          <w:rFonts w:ascii="Times New Roman" w:hAnsi="Times New Roman"/>
          <w:sz w:val="24"/>
          <w:szCs w:val="24"/>
          <w:lang w:eastAsia="ru-RU"/>
        </w:rPr>
      </w:pPr>
      <w:r>
        <w:rPr>
          <w:rFonts w:ascii="Times New Roman" w:hAnsi="Times New Roman"/>
          <w:sz w:val="24"/>
          <w:szCs w:val="24"/>
          <w:lang w:eastAsia="ru-RU"/>
        </w:rPr>
        <w:t>Приказ Минфина России от 31.12.2016 N 257н "Об утверждении федерального стандарта бухгалтерского учета для организаций государственного сектора "Основные средства" (далее – Приказ 257н)</w:t>
      </w:r>
    </w:p>
    <w:p>
      <w:pPr>
        <w:pStyle w:val="Normal"/>
        <w:numPr>
          <w:ilvl w:val="0"/>
          <w:numId w:val="7"/>
        </w:numPr>
        <w:spacing w:lineRule="auto" w:line="240" w:before="0" w:after="0"/>
        <w:ind w:left="709" w:hanging="360"/>
        <w:jc w:val="both"/>
        <w:rPr>
          <w:rFonts w:ascii="Times New Roman" w:hAnsi="Times New Roman"/>
          <w:sz w:val="24"/>
          <w:szCs w:val="24"/>
          <w:lang w:eastAsia="ru-RU"/>
        </w:rPr>
      </w:pPr>
      <w:r>
        <w:rPr>
          <w:rFonts w:ascii="Times New Roman" w:hAnsi="Times New Roman"/>
          <w:sz w:val="24"/>
          <w:szCs w:val="24"/>
          <w:lang w:eastAsia="ru-RU"/>
        </w:rPr>
        <w:t>Приказ Минфина России от 31.12.2016 N 258н "Об утверждении федерального стандарта бухгалтерского учета для организаций государственного сектора "Аренда" (далее – Приказ 258н)</w:t>
      </w:r>
    </w:p>
    <w:p>
      <w:pPr>
        <w:pStyle w:val="Normal"/>
        <w:numPr>
          <w:ilvl w:val="0"/>
          <w:numId w:val="7"/>
        </w:numPr>
        <w:spacing w:lineRule="auto" w:line="240" w:before="0" w:after="0"/>
        <w:ind w:left="709" w:hanging="360"/>
        <w:jc w:val="both"/>
        <w:rPr>
          <w:rFonts w:ascii="Times New Roman" w:hAnsi="Times New Roman"/>
          <w:sz w:val="24"/>
          <w:szCs w:val="24"/>
          <w:lang w:eastAsia="ru-RU"/>
        </w:rPr>
      </w:pPr>
      <w:r>
        <w:rPr>
          <w:rFonts w:ascii="Times New Roman" w:hAnsi="Times New Roman"/>
          <w:sz w:val="24"/>
          <w:szCs w:val="24"/>
          <w:lang w:eastAsia="ru-RU"/>
        </w:rPr>
        <w:t>Приказ Минфина России от 31.12.2016 N 259н "Об утверждении федерального стандарта бухгалтерского учета для организаций государственного сектора "Обесценение активов" (далее – Приказ 259н)</w:t>
      </w:r>
    </w:p>
    <w:p>
      <w:pPr>
        <w:pStyle w:val="Normal"/>
        <w:numPr>
          <w:ilvl w:val="0"/>
          <w:numId w:val="7"/>
        </w:numPr>
        <w:spacing w:lineRule="auto" w:line="240" w:before="0" w:after="0"/>
        <w:ind w:left="709" w:hanging="360"/>
        <w:jc w:val="both"/>
        <w:rPr>
          <w:rFonts w:ascii="Times New Roman" w:hAnsi="Times New Roman"/>
          <w:sz w:val="24"/>
          <w:szCs w:val="24"/>
          <w:lang w:eastAsia="ru-RU"/>
        </w:rPr>
      </w:pPr>
      <w:r>
        <w:rPr>
          <w:rFonts w:ascii="Times New Roman" w:hAnsi="Times New Roman"/>
          <w:sz w:val="24"/>
          <w:szCs w:val="24"/>
          <w:lang w:eastAsia="ru-RU"/>
        </w:rPr>
        <w:t>Приказ Минфина России от 31.12.2016 N 260н "Об утверждении федерального стандарта бухгалтерского учета для организаций государственного сектора "Представление бухгалтерской (финансовой) отчетности" (далее – Приказ 260н)</w:t>
      </w:r>
    </w:p>
    <w:p>
      <w:pPr>
        <w:pStyle w:val="Normal"/>
        <w:numPr>
          <w:ilvl w:val="0"/>
          <w:numId w:val="7"/>
        </w:numPr>
        <w:spacing w:lineRule="auto" w:line="240" w:before="0" w:after="0"/>
        <w:ind w:left="709" w:hanging="360"/>
        <w:jc w:val="both"/>
        <w:rPr>
          <w:rFonts w:ascii="Times New Roman" w:hAnsi="Times New Roman"/>
          <w:sz w:val="24"/>
          <w:szCs w:val="24"/>
          <w:lang w:eastAsia="ru-RU"/>
        </w:rPr>
      </w:pPr>
      <w:r>
        <w:rPr>
          <w:rFonts w:ascii="Times New Roman" w:hAnsi="Times New Roman"/>
          <w:sz w:val="24"/>
          <w:szCs w:val="24"/>
          <w:lang w:eastAsia="ru-RU"/>
        </w:rPr>
        <w:t>Приказ Минфина России от 30.12.2017 N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 (далее – Приказ 274н)</w:t>
      </w:r>
    </w:p>
    <w:p>
      <w:pPr>
        <w:pStyle w:val="Normal"/>
        <w:numPr>
          <w:ilvl w:val="0"/>
          <w:numId w:val="7"/>
        </w:numPr>
        <w:spacing w:lineRule="auto" w:line="240" w:before="0" w:after="0"/>
        <w:ind w:left="709" w:hanging="360"/>
        <w:jc w:val="both"/>
        <w:rPr>
          <w:rFonts w:ascii="Times New Roman" w:hAnsi="Times New Roman"/>
          <w:sz w:val="24"/>
          <w:szCs w:val="24"/>
          <w:lang w:eastAsia="ru-RU"/>
        </w:rPr>
      </w:pPr>
      <w:r>
        <w:rPr>
          <w:rFonts w:ascii="Times New Roman" w:hAnsi="Times New Roman"/>
          <w:sz w:val="24"/>
          <w:szCs w:val="24"/>
          <w:lang w:eastAsia="ru-RU"/>
        </w:rPr>
        <w:t>Приказ Минфина России от 30.12.2017 N 275н "Об утверждении федерального стандарта бухгалтерского учета для организаций государственного сектора "События после отчетной даты" (далее – Приказ 275н)</w:t>
      </w:r>
    </w:p>
    <w:p>
      <w:pPr>
        <w:pStyle w:val="Normal"/>
        <w:numPr>
          <w:ilvl w:val="0"/>
          <w:numId w:val="7"/>
        </w:numPr>
        <w:spacing w:lineRule="auto" w:line="240" w:before="0" w:after="0"/>
        <w:ind w:left="709" w:hanging="360"/>
        <w:jc w:val="both"/>
        <w:rPr>
          <w:rFonts w:ascii="Times New Roman" w:hAnsi="Times New Roman"/>
          <w:sz w:val="24"/>
          <w:szCs w:val="24"/>
          <w:lang w:eastAsia="ru-RU"/>
        </w:rPr>
      </w:pPr>
      <w:r>
        <w:rPr>
          <w:rFonts w:ascii="Times New Roman" w:hAnsi="Times New Roman"/>
          <w:sz w:val="24"/>
          <w:szCs w:val="24"/>
          <w:lang w:eastAsia="ru-RU"/>
        </w:rPr>
        <w:t>Приказ Минфина России от 30.12.2017 N 278н "Об утверждении федерального стандарта бухгалтерского учета для организаций государственного сектора "Отчет о движении денежных средств" (далее – Приказ 278н)</w:t>
      </w:r>
    </w:p>
    <w:p>
      <w:pPr>
        <w:pStyle w:val="Normal"/>
        <w:numPr>
          <w:ilvl w:val="0"/>
          <w:numId w:val="7"/>
        </w:numPr>
        <w:spacing w:lineRule="auto" w:line="240" w:before="0" w:after="0"/>
        <w:ind w:left="709" w:hanging="360"/>
        <w:jc w:val="both"/>
        <w:rPr>
          <w:rFonts w:ascii="Times New Roman" w:hAnsi="Times New Roman"/>
          <w:sz w:val="24"/>
          <w:szCs w:val="24"/>
          <w:lang w:eastAsia="ru-RU"/>
        </w:rPr>
      </w:pPr>
      <w:r>
        <w:rPr>
          <w:rFonts w:ascii="Times New Roman" w:hAnsi="Times New Roman"/>
          <w:sz w:val="24"/>
          <w:szCs w:val="24"/>
          <w:lang w:eastAsia="ru-RU"/>
        </w:rPr>
        <w:t>Приказ Минфина России от 27.02.2018 N 32н "Об утверждении федерального стандарта бухгалтерского учета для организаций государственного сектора "Доходы" (далее – Приказ 32н)</w:t>
      </w:r>
    </w:p>
    <w:p>
      <w:pPr>
        <w:pStyle w:val="Normal"/>
        <w:numPr>
          <w:ilvl w:val="0"/>
          <w:numId w:val="7"/>
        </w:numPr>
        <w:spacing w:lineRule="auto" w:line="240" w:before="0" w:after="0"/>
        <w:ind w:left="709" w:hanging="360"/>
        <w:jc w:val="both"/>
        <w:rPr>
          <w:rFonts w:ascii="Times New Roman" w:hAnsi="Times New Roman"/>
          <w:sz w:val="24"/>
          <w:szCs w:val="24"/>
          <w:lang w:eastAsia="ru-RU"/>
        </w:rPr>
      </w:pPr>
      <w:r>
        <w:rPr>
          <w:rFonts w:ascii="Times New Roman" w:hAnsi="Times New Roman"/>
          <w:sz w:val="24"/>
          <w:szCs w:val="24"/>
          <w:lang w:eastAsia="ru-RU"/>
        </w:rPr>
        <w:t>Приказ Минфина России от 30.05.2018 N 122н "Об утверждении федерального стандарта бухгалтерского учета для организаций государственного сектора "Влияние изменений курсов иностранных валют"</w:t>
      </w:r>
    </w:p>
    <w:p>
      <w:pPr>
        <w:pStyle w:val="Normal"/>
        <w:numPr>
          <w:ilvl w:val="0"/>
          <w:numId w:val="7"/>
        </w:numPr>
        <w:spacing w:lineRule="auto" w:line="240" w:before="0" w:after="0"/>
        <w:ind w:left="709" w:hanging="360"/>
        <w:jc w:val="both"/>
        <w:rPr>
          <w:rFonts w:ascii="Times New Roman" w:hAnsi="Times New Roman"/>
          <w:sz w:val="24"/>
          <w:szCs w:val="24"/>
          <w:lang w:eastAsia="ru-RU"/>
        </w:rPr>
      </w:pPr>
      <w:r>
        <w:rPr>
          <w:rFonts w:ascii="Times New Roman" w:hAnsi="Times New Roman"/>
          <w:sz w:val="24"/>
          <w:szCs w:val="24"/>
          <w:lang w:eastAsia="ru-RU"/>
        </w:rPr>
        <w:t>Приказ Минфина России от 30.05.2018 N 124н "Об утверждении федерального стандарта бухгалтерского учета для организаций государственного сектора "Резервы. Раскрытие информации об условных обязательствах и условных активах" (далее – Приказ 124н)</w:t>
      </w:r>
    </w:p>
    <w:p>
      <w:pPr>
        <w:pStyle w:val="Normal"/>
        <w:numPr>
          <w:ilvl w:val="0"/>
          <w:numId w:val="7"/>
        </w:numPr>
        <w:spacing w:lineRule="auto" w:line="240" w:before="0" w:after="0"/>
        <w:ind w:left="709" w:hanging="360"/>
        <w:jc w:val="both"/>
        <w:rPr>
          <w:rFonts w:ascii="Times New Roman" w:hAnsi="Times New Roman"/>
          <w:sz w:val="24"/>
          <w:szCs w:val="24"/>
          <w:lang w:eastAsia="ru-RU"/>
        </w:rPr>
      </w:pPr>
      <w:r>
        <w:rPr>
          <w:rFonts w:ascii="Times New Roman" w:hAnsi="Times New Roman"/>
          <w:sz w:val="24"/>
          <w:szCs w:val="24"/>
          <w:lang w:eastAsia="ru-RU"/>
        </w:rPr>
        <w:t>Приказ Минфина России от 29.06.2018 N 145н "Об утверждении федерального стандарта бухгалтерского учета для организаций государственного сектора "Долгосрочные договоры" (далее – Приказ 145н)</w:t>
      </w:r>
    </w:p>
    <w:p>
      <w:pPr>
        <w:pStyle w:val="Normal"/>
        <w:numPr>
          <w:ilvl w:val="0"/>
          <w:numId w:val="7"/>
        </w:numPr>
        <w:spacing w:lineRule="auto" w:line="240" w:before="0" w:after="0"/>
        <w:ind w:left="709" w:hanging="360"/>
        <w:jc w:val="both"/>
        <w:rPr>
          <w:rFonts w:ascii="Times New Roman" w:hAnsi="Times New Roman"/>
          <w:sz w:val="24"/>
          <w:szCs w:val="24"/>
          <w:lang w:eastAsia="ru-RU"/>
        </w:rPr>
      </w:pPr>
      <w:r>
        <w:rPr>
          <w:rFonts w:ascii="Times New Roman" w:hAnsi="Times New Roman"/>
          <w:sz w:val="24"/>
          <w:szCs w:val="24"/>
          <w:lang w:eastAsia="ru-RU"/>
        </w:rPr>
        <w:t>Приказ Минфина России от 07.12.2018 N 256н "Об утверждении федерального стандарта бухгалтерского учета для организаций государственного сектора "Запасы" (далее – СГС «Запасы»)</w:t>
      </w:r>
    </w:p>
    <w:p>
      <w:pPr>
        <w:pStyle w:val="Normal"/>
        <w:numPr>
          <w:ilvl w:val="0"/>
          <w:numId w:val="7"/>
        </w:numPr>
        <w:spacing w:lineRule="auto" w:line="240" w:before="0" w:after="0"/>
        <w:ind w:left="709" w:hanging="360"/>
        <w:jc w:val="both"/>
        <w:rPr>
          <w:rFonts w:ascii="Times New Roman" w:hAnsi="Times New Roman"/>
          <w:sz w:val="24"/>
          <w:szCs w:val="24"/>
          <w:lang w:eastAsia="ru-RU"/>
        </w:rPr>
      </w:pPr>
      <w:r>
        <w:rPr>
          <w:rFonts w:ascii="Times New Roman" w:hAnsi="Times New Roman"/>
          <w:sz w:val="24"/>
          <w:szCs w:val="24"/>
          <w:lang w:eastAsia="ru-RU"/>
        </w:rPr>
        <w:t>Приказ Минфина РФ от 01.12.2010 г. № 157н «Об утверждении единого плана счетов бухгалтерского учета для органов государственной власти,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(далее – Инструкция 157н)</w:t>
      </w:r>
    </w:p>
    <w:p>
      <w:pPr>
        <w:pStyle w:val="Normal"/>
        <w:numPr>
          <w:ilvl w:val="0"/>
          <w:numId w:val="7"/>
        </w:numPr>
        <w:spacing w:lineRule="auto" w:line="240" w:before="0" w:after="0"/>
        <w:ind w:left="709" w:hanging="360"/>
        <w:jc w:val="both"/>
        <w:rPr>
          <w:rFonts w:ascii="Times New Roman" w:hAnsi="Times New Roman"/>
          <w:sz w:val="24"/>
          <w:szCs w:val="24"/>
          <w:lang w:eastAsia="ru-RU"/>
        </w:rPr>
      </w:pPr>
      <w:r>
        <w:rPr>
          <w:rFonts w:ascii="Times New Roman" w:hAnsi="Times New Roman"/>
          <w:sz w:val="24"/>
          <w:szCs w:val="24"/>
          <w:lang w:eastAsia="ru-RU"/>
        </w:rPr>
        <w:t xml:space="preserve">Приказ Минфина России от 16.12. 2010 г. № 174н "Об утверждении Плана счетов бухгалтерского учета бюджетных учреждений и Инструкции по его применению" </w:t>
      </w:r>
    </w:p>
    <w:p>
      <w:pPr>
        <w:pStyle w:val="Normal"/>
        <w:numPr>
          <w:ilvl w:val="0"/>
          <w:numId w:val="7"/>
        </w:numPr>
        <w:spacing w:lineRule="auto" w:line="240" w:before="0" w:after="0"/>
        <w:ind w:left="709" w:hanging="360"/>
        <w:jc w:val="both"/>
        <w:rPr>
          <w:rFonts w:ascii="Times New Roman" w:hAnsi="Times New Roman"/>
          <w:sz w:val="24"/>
          <w:szCs w:val="24"/>
          <w:lang w:eastAsia="ru-RU"/>
        </w:rPr>
      </w:pPr>
      <w:r>
        <w:rPr>
          <w:rFonts w:ascii="Times New Roman" w:hAnsi="Times New Roman"/>
          <w:sz w:val="24"/>
          <w:szCs w:val="24"/>
          <w:lang w:eastAsia="ru-RU"/>
        </w:rPr>
        <w:t>Приказ Минфина России от 30.03.2015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52н)</w:t>
      </w:r>
    </w:p>
    <w:p>
      <w:pPr>
        <w:pStyle w:val="Normal"/>
        <w:numPr>
          <w:ilvl w:val="0"/>
          <w:numId w:val="7"/>
        </w:numPr>
        <w:spacing w:lineRule="auto" w:line="240" w:before="0" w:after="0"/>
        <w:ind w:left="709" w:hanging="360"/>
        <w:jc w:val="both"/>
        <w:rPr>
          <w:rFonts w:ascii="Times New Roman" w:hAnsi="Times New Roman"/>
          <w:sz w:val="24"/>
          <w:szCs w:val="24"/>
          <w:lang w:eastAsia="ru-RU"/>
        </w:rPr>
      </w:pPr>
      <w:r>
        <w:rPr>
          <w:rFonts w:ascii="Times New Roman" w:hAnsi="Times New Roman"/>
          <w:sz w:val="24"/>
          <w:szCs w:val="24"/>
          <w:lang w:eastAsia="ru-RU"/>
        </w:rPr>
        <w:t xml:space="preserve">Приказ Минфина РФ от 25 марта 2011г. №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w:t>
      </w:r>
    </w:p>
    <w:p>
      <w:pPr>
        <w:pStyle w:val="Normal"/>
        <w:numPr>
          <w:ilvl w:val="0"/>
          <w:numId w:val="7"/>
        </w:numPr>
        <w:spacing w:lineRule="auto" w:line="240" w:before="0" w:after="0"/>
        <w:ind w:left="709" w:hanging="360"/>
        <w:jc w:val="both"/>
        <w:rPr>
          <w:rFonts w:ascii="Times New Roman" w:hAnsi="Times New Roman"/>
          <w:sz w:val="24"/>
          <w:szCs w:val="24"/>
          <w:lang w:eastAsia="ru-RU"/>
        </w:rPr>
      </w:pPr>
      <w:r>
        <w:rPr>
          <w:rFonts w:ascii="Times New Roman" w:hAnsi="Times New Roman"/>
          <w:sz w:val="24"/>
          <w:szCs w:val="24"/>
          <w:lang w:eastAsia="ru-RU"/>
        </w:rPr>
        <w:t>Приказ Минфина РФ от 28.07.2010 N 81н "О требованиях к плану финансово-хозяйственной деятельности государственного (муниципального) учреждения"</w:t>
      </w:r>
    </w:p>
    <w:p>
      <w:pPr>
        <w:pStyle w:val="Normal"/>
        <w:numPr>
          <w:ilvl w:val="0"/>
          <w:numId w:val="7"/>
        </w:numPr>
        <w:spacing w:lineRule="auto" w:line="240" w:before="0" w:after="0"/>
        <w:ind w:left="709" w:hanging="360"/>
        <w:jc w:val="both"/>
        <w:rPr>
          <w:rFonts w:ascii="Times New Roman" w:hAnsi="Times New Roman"/>
          <w:sz w:val="24"/>
          <w:szCs w:val="24"/>
          <w:lang w:eastAsia="ru-RU"/>
        </w:rPr>
      </w:pPr>
      <w:r>
        <w:rPr>
          <w:rFonts w:ascii="Times New Roman" w:hAnsi="Times New Roman"/>
          <w:sz w:val="24"/>
          <w:szCs w:val="24"/>
          <w:lang w:eastAsia="ru-RU"/>
        </w:rPr>
        <w:t>Приказ Минфина РФ от 13.06.1995 N 49 "Об утверждении Методических указаний по инвентаризации имущества и финансовых обязательств" (далее – Приказ 49)</w:t>
      </w:r>
    </w:p>
    <w:p>
      <w:pPr>
        <w:pStyle w:val="Normal"/>
        <w:numPr>
          <w:ilvl w:val="0"/>
          <w:numId w:val="7"/>
        </w:numPr>
        <w:spacing w:before="0" w:after="0"/>
        <w:rPr>
          <w:sz w:val="24"/>
          <w:szCs w:val="24"/>
        </w:rPr>
      </w:pPr>
      <w:r>
        <w:rPr>
          <w:rFonts w:ascii="Times New Roman" w:hAnsi="Times New Roman"/>
          <w:sz w:val="24"/>
          <w:szCs w:val="24"/>
        </w:rPr>
        <w:t>Приказ Минфина России от 15.11.2019 N 184н "Об утверждении федерального стандарта бухгалтерского учета государственных финансов "Выплаты персоналу</w:t>
      </w:r>
      <w:r>
        <w:rPr>
          <w:sz w:val="24"/>
          <w:szCs w:val="24"/>
        </w:rPr>
        <w:t>"</w:t>
      </w:r>
    </w:p>
    <w:p>
      <w:pPr>
        <w:pStyle w:val="23"/>
        <w:numPr>
          <w:ilvl w:val="0"/>
          <w:numId w:val="7"/>
        </w:numPr>
        <w:spacing w:lineRule="auto" w:line="240"/>
        <w:ind w:left="709" w:hanging="360"/>
        <w:rPr>
          <w:rFonts w:ascii="Times New Roman" w:hAnsi="Times New Roman"/>
          <w:szCs w:val="24"/>
        </w:rPr>
      </w:pPr>
      <w:r>
        <w:rPr>
          <w:rFonts w:ascii="Times New Roman" w:hAnsi="Times New Roman"/>
          <w:szCs w:val="24"/>
        </w:rPr>
        <w:t>Устав учреждения.</w:t>
      </w:r>
    </w:p>
    <w:p>
      <w:pPr>
        <w:pStyle w:val="23"/>
        <w:numPr>
          <w:ilvl w:val="0"/>
          <w:numId w:val="7"/>
        </w:numPr>
        <w:spacing w:lineRule="auto" w:line="240"/>
        <w:ind w:left="709" w:hanging="360"/>
        <w:rPr>
          <w:rFonts w:ascii="Times New Roman" w:hAnsi="Times New Roman"/>
          <w:szCs w:val="24"/>
        </w:rPr>
      </w:pPr>
      <w:r>
        <w:rPr>
          <w:rFonts w:ascii="Times New Roman" w:hAnsi="Times New Roman"/>
          <w:color w:val="000000"/>
          <w:spacing w:val="5"/>
          <w:szCs w:val="24"/>
        </w:rPr>
        <w:t>Бюджетный кодекс РФ</w:t>
      </w:r>
    </w:p>
    <w:p>
      <w:pPr>
        <w:pStyle w:val="23"/>
        <w:numPr>
          <w:ilvl w:val="0"/>
          <w:numId w:val="7"/>
        </w:numPr>
        <w:spacing w:lineRule="auto" w:line="240"/>
        <w:ind w:left="709" w:hanging="360"/>
        <w:rPr>
          <w:rFonts w:ascii="Times New Roman" w:hAnsi="Times New Roman"/>
          <w:szCs w:val="24"/>
        </w:rPr>
      </w:pPr>
      <w:r>
        <w:rPr>
          <w:rFonts w:ascii="Times New Roman" w:hAnsi="Times New Roman"/>
          <w:color w:val="000000"/>
          <w:spacing w:val="5"/>
          <w:szCs w:val="24"/>
        </w:rPr>
        <w:t>Налоговый кодекс РФ</w:t>
      </w:r>
    </w:p>
    <w:p>
      <w:pPr>
        <w:pStyle w:val="23"/>
        <w:numPr>
          <w:ilvl w:val="0"/>
          <w:numId w:val="7"/>
        </w:numPr>
        <w:spacing w:lineRule="auto" w:line="240"/>
        <w:ind w:left="709" w:hanging="360"/>
        <w:rPr>
          <w:rFonts w:ascii="Times New Roman" w:hAnsi="Times New Roman"/>
          <w:szCs w:val="24"/>
        </w:rPr>
      </w:pPr>
      <w:r>
        <w:rPr>
          <w:rFonts w:ascii="Times New Roman" w:hAnsi="Times New Roman"/>
          <w:color w:val="000000"/>
          <w:spacing w:val="5"/>
          <w:szCs w:val="24"/>
        </w:rPr>
        <w:t>Гражданский кодекс РФ</w:t>
      </w:r>
    </w:p>
    <w:p>
      <w:pPr>
        <w:pStyle w:val="Normal"/>
        <w:spacing w:lineRule="auto" w:line="240" w:before="0" w:after="0"/>
        <w:ind w:left="709" w:hanging="0"/>
        <w:jc w:val="both"/>
        <w:rPr>
          <w:rFonts w:ascii="Times New Roman" w:hAnsi="Times New Roman"/>
          <w:sz w:val="24"/>
          <w:szCs w:val="24"/>
          <w:lang w:eastAsia="ru-RU"/>
        </w:rPr>
      </w:pPr>
      <w:r>
        <w:rPr>
          <w:rFonts w:ascii="Times New Roman" w:hAnsi="Times New Roman"/>
          <w:sz w:val="24"/>
          <w:szCs w:val="24"/>
          <w:lang w:eastAsia="ru-RU"/>
        </w:rPr>
      </w:r>
    </w:p>
    <w:p>
      <w:pPr>
        <w:pStyle w:val="Normal"/>
        <w:keepNext w:val="true"/>
        <w:numPr>
          <w:ilvl w:val="0"/>
          <w:numId w:val="0"/>
        </w:numPr>
        <w:spacing w:lineRule="auto" w:line="240" w:beforeAutospacing="1" w:afterAutospacing="1"/>
        <w:ind w:left="0" w:hanging="0"/>
        <w:jc w:val="center"/>
        <w:outlineLvl w:val="0"/>
        <w:rPr>
          <w:rFonts w:ascii="Times New Roman" w:hAnsi="Times New Roman"/>
          <w:b/>
          <w:b/>
          <w:bCs/>
          <w:kern w:val="2"/>
          <w:sz w:val="24"/>
          <w:szCs w:val="24"/>
          <w:lang w:eastAsia="ru-RU"/>
        </w:rPr>
      </w:pPr>
      <w:r>
        <w:rPr>
          <w:rFonts w:ascii="Times New Roman" w:hAnsi="Times New Roman"/>
          <w:b/>
          <w:bCs/>
          <w:kern w:val="2"/>
          <w:sz w:val="24"/>
          <w:szCs w:val="24"/>
          <w:lang w:eastAsia="ru-RU"/>
        </w:rPr>
        <w:t xml:space="preserve">Принципы ведения учета </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К бухгалтерскому учету принимаются первичные учетные документы, поступившие по результатам </w:t>
      </w:r>
      <w:r>
        <w:rPr>
          <w:rFonts w:ascii="Times New Roman" w:hAnsi="Times New Roman"/>
          <w:b/>
          <w:sz w:val="24"/>
          <w:szCs w:val="24"/>
          <w:lang w:eastAsia="ru-RU"/>
        </w:rPr>
        <w:t>внутреннего контроля</w:t>
      </w:r>
      <w:r>
        <w:rPr>
          <w:rFonts w:ascii="Times New Roman" w:hAnsi="Times New Roman"/>
          <w:sz w:val="24"/>
          <w:szCs w:val="24"/>
          <w:lang w:eastAsia="ru-RU"/>
        </w:rPr>
        <w:t xml:space="preserve"> совершаемых фактов хозяйственной жизни для регистрации содержащихся в них данных в регистрах бухгалтерского учета, из предположения надлежащего составления первичных учетных документов по совершенным фактам хозяйственной жизни лицами, ответственными за их оформление (п. 3 Инструкции 157н). Внутренний контроль в соответствии с обозначенным принципом осуществляют: </w:t>
      </w:r>
    </w:p>
    <w:p>
      <w:pPr>
        <w:pStyle w:val="Normal"/>
        <w:numPr>
          <w:ilvl w:val="0"/>
          <w:numId w:val="8"/>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На этапе составления первичного документа – Ответственный исполнитель, поименованный в Графике документооборота (Приложение 3 к настоящей Учетной политике)</w:t>
      </w:r>
    </w:p>
    <w:p>
      <w:pPr>
        <w:pStyle w:val="Normal"/>
        <w:numPr>
          <w:ilvl w:val="0"/>
          <w:numId w:val="8"/>
        </w:numPr>
        <w:spacing w:lineRule="auto" w:line="240" w:before="0" w:afterAutospacing="1"/>
        <w:jc w:val="both"/>
        <w:rPr>
          <w:rFonts w:ascii="Times New Roman" w:hAnsi="Times New Roman"/>
          <w:sz w:val="24"/>
          <w:szCs w:val="24"/>
          <w:lang w:eastAsia="ru-RU"/>
        </w:rPr>
      </w:pPr>
      <w:r>
        <w:rPr>
          <w:rFonts w:ascii="Times New Roman" w:hAnsi="Times New Roman"/>
          <w:sz w:val="24"/>
          <w:szCs w:val="24"/>
          <w:lang w:eastAsia="ru-RU"/>
        </w:rPr>
        <w:t>На этапе регистрации первичного документа – соответствующий специалист бухгалтерской службы, ответственный за регистрацию документа и поименованный в Графике документооборота (Приложение 3 к настоящей Учетной политике)</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Принятая Учетная политика применяется последовательно от одного отчетного года к другому (п. 11 Приказа 274н). Изменения в Учетную политику принимаются приказом Руководителя Учреждения в одном из следующих случаев (п. 12 Приказа 274н): </w:t>
      </w:r>
    </w:p>
    <w:p>
      <w:pPr>
        <w:pStyle w:val="Normal"/>
        <w:numPr>
          <w:ilvl w:val="0"/>
          <w:numId w:val="8"/>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При изменении требований, установленных законодательством РФ о бухгалтерском учете, федеральными или отраслевыми стандартами</w:t>
      </w:r>
    </w:p>
    <w:p>
      <w:pPr>
        <w:pStyle w:val="Normal"/>
        <w:numPr>
          <w:ilvl w:val="0"/>
          <w:numId w:val="8"/>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При разработке или выборе нового способа ведения бухгалтерского учета, применение которого приводит к повышению качества информации об объекте бухгалтерского учета</w:t>
      </w:r>
    </w:p>
    <w:p>
      <w:pPr>
        <w:pStyle w:val="Normal"/>
        <w:numPr>
          <w:ilvl w:val="0"/>
          <w:numId w:val="8"/>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В случае существенного изменения условий деятельности экономического субъекта</w:t>
      </w:r>
    </w:p>
    <w:p>
      <w:pPr>
        <w:pStyle w:val="Normal"/>
        <w:spacing w:lineRule="auto" w:line="240" w:before="0" w:after="0"/>
        <w:ind w:left="540" w:hanging="0"/>
        <w:jc w:val="both"/>
        <w:rPr>
          <w:rFonts w:ascii="Times New Roman" w:hAnsi="Times New Roman"/>
          <w:sz w:val="24"/>
          <w:szCs w:val="24"/>
          <w:lang w:eastAsia="ru-RU"/>
        </w:rPr>
      </w:pPr>
      <w:r>
        <w:rPr>
          <w:rFonts w:ascii="Times New Roman" w:hAnsi="Times New Roman"/>
          <w:sz w:val="24"/>
          <w:szCs w:val="24"/>
          <w:lang w:eastAsia="ru-RU"/>
        </w:rPr>
        <w:t>Внесением изменений в учетную политику не считается (п. 14 Приказа 274н):</w:t>
      </w:r>
    </w:p>
    <w:p>
      <w:pPr>
        <w:pStyle w:val="Normal"/>
        <w:numPr>
          <w:ilvl w:val="0"/>
          <w:numId w:val="21"/>
        </w:numPr>
        <w:spacing w:lineRule="auto" w:line="240" w:before="0" w:after="0"/>
        <w:ind w:left="851" w:hanging="360"/>
        <w:jc w:val="both"/>
        <w:rPr>
          <w:rFonts w:ascii="Times New Roman" w:hAnsi="Times New Roman"/>
          <w:sz w:val="24"/>
          <w:szCs w:val="24"/>
          <w:lang w:eastAsia="ru-RU"/>
        </w:rPr>
      </w:pPr>
      <w:r>
        <w:rPr>
          <w:rFonts w:ascii="Times New Roman" w:hAnsi="Times New Roman"/>
          <w:sz w:val="24"/>
          <w:szCs w:val="24"/>
          <w:lang w:eastAsia="ru-RU"/>
        </w:rPr>
        <w:t>применение правила (способа) организации и ведения бухгалтерского учета для отражения фактов хозяйственной жизни, которые отличны по существу от фактов хозяйственной жизни, имевших место ранее;</w:t>
      </w:r>
    </w:p>
    <w:p>
      <w:pPr>
        <w:pStyle w:val="Normal"/>
        <w:numPr>
          <w:ilvl w:val="0"/>
          <w:numId w:val="21"/>
        </w:numPr>
        <w:spacing w:lineRule="auto" w:line="240" w:before="0" w:after="0"/>
        <w:ind w:left="851" w:hanging="360"/>
        <w:jc w:val="both"/>
        <w:rPr>
          <w:rFonts w:ascii="Times New Roman" w:hAnsi="Times New Roman"/>
          <w:sz w:val="24"/>
          <w:szCs w:val="24"/>
          <w:lang w:eastAsia="ru-RU"/>
        </w:rPr>
      </w:pPr>
      <w:r>
        <w:rPr>
          <w:rFonts w:ascii="Times New Roman" w:hAnsi="Times New Roman"/>
          <w:sz w:val="24"/>
          <w:szCs w:val="24"/>
          <w:lang w:eastAsia="ru-RU"/>
        </w:rPr>
        <w:t>утверждение нового правила (способа) организации и ведения бухгалтерского учета для отражения фактов хозяйственной жизни, которые возникли в деятельности субъекта учета впервые.</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Приведенные ситуации рассматриваются как дополнения в учетную политику и принимаются приказом Руководителя Учреждения. </w:t>
      </w:r>
    </w:p>
    <w:p>
      <w:pPr>
        <w:pStyle w:val="Normal"/>
        <w:keepNext w:val="true"/>
        <w:numPr>
          <w:ilvl w:val="0"/>
          <w:numId w:val="0"/>
        </w:numPr>
        <w:spacing w:lineRule="auto" w:line="240" w:beforeAutospacing="1" w:afterAutospacing="1"/>
        <w:ind w:left="0" w:hanging="0"/>
        <w:jc w:val="center"/>
        <w:outlineLvl w:val="0"/>
        <w:rPr>
          <w:rFonts w:ascii="Times New Roman" w:hAnsi="Times New Roman"/>
          <w:b/>
          <w:b/>
          <w:bCs/>
          <w:kern w:val="2"/>
          <w:sz w:val="24"/>
          <w:szCs w:val="24"/>
          <w:lang w:eastAsia="ru-RU"/>
        </w:rPr>
      </w:pPr>
      <w:r>
        <w:rPr>
          <w:rFonts w:ascii="Times New Roman" w:hAnsi="Times New Roman"/>
          <w:b/>
          <w:bCs/>
          <w:kern w:val="2"/>
          <w:sz w:val="24"/>
          <w:szCs w:val="24"/>
          <w:lang w:eastAsia="ru-RU"/>
        </w:rPr>
        <w:t>Раздел 1. Об организации учетного процесса</w:t>
      </w:r>
    </w:p>
    <w:p>
      <w:pPr>
        <w:pStyle w:val="Normal"/>
        <w:keepNext w:val="true"/>
        <w:numPr>
          <w:ilvl w:val="0"/>
          <w:numId w:val="0"/>
        </w:numPr>
        <w:spacing w:lineRule="auto" w:line="240" w:beforeAutospacing="1" w:afterAutospacing="1"/>
        <w:ind w:left="0" w:hanging="0"/>
        <w:jc w:val="center"/>
        <w:outlineLvl w:val="0"/>
        <w:rPr>
          <w:rFonts w:ascii="Times New Roman" w:hAnsi="Times New Roman"/>
          <w:b/>
          <w:b/>
          <w:bCs/>
          <w:kern w:val="2"/>
          <w:sz w:val="24"/>
          <w:szCs w:val="24"/>
          <w:lang w:eastAsia="ru-RU"/>
        </w:rPr>
      </w:pPr>
      <w:r>
        <w:rPr>
          <w:rFonts w:ascii="Times New Roman" w:hAnsi="Times New Roman"/>
          <w:b/>
          <w:bCs/>
          <w:kern w:val="2"/>
          <w:sz w:val="24"/>
          <w:szCs w:val="24"/>
          <w:lang w:eastAsia="ru-RU"/>
        </w:rPr>
        <w:t>Организация учетной работы</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bCs/>
          <w:sz w:val="24"/>
          <w:szCs w:val="24"/>
          <w:lang w:eastAsia="ru-RU"/>
        </w:rPr>
        <w:t xml:space="preserve">Ответственность за организацию бухгалтерского учета в Учреждении несет Руководитель Учреждения (п. 1 ст. 7 Закона 402-ФЗ).  </w:t>
      </w:r>
      <w:r>
        <w:rPr>
          <w:rFonts w:ascii="Times New Roman" w:hAnsi="Times New Roman"/>
          <w:sz w:val="24"/>
          <w:szCs w:val="24"/>
          <w:lang w:eastAsia="ru-RU"/>
        </w:rPr>
        <w:t>Заведующий Учреждением:</w:t>
      </w:r>
    </w:p>
    <w:p>
      <w:pPr>
        <w:pStyle w:val="Normal"/>
        <w:numPr>
          <w:ilvl w:val="0"/>
          <w:numId w:val="1"/>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несет ответственность за организацию бухгалтерского учета в Учреждении и соблюдение законодательства при выполнении хозяйственных операций,</w:t>
      </w:r>
    </w:p>
    <w:p>
      <w:pPr>
        <w:pStyle w:val="Normal"/>
        <w:numPr>
          <w:ilvl w:val="0"/>
          <w:numId w:val="1"/>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обеспечивает неукоснительное выполнение работниками требований главного бухгалтера по документальному оформлению хозяйственных операций и представлению в бухгалтерию необходимых документов и сведений,</w:t>
      </w:r>
    </w:p>
    <w:p>
      <w:pPr>
        <w:pStyle w:val="Normal"/>
        <w:numPr>
          <w:ilvl w:val="0"/>
          <w:numId w:val="1"/>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несет ответственность за организацию хранения первичных (сводных) учетных документов, регистров бухгалтерского учета и бухгалтерской (финансовой) отчетности.</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 xml:space="preserve">При смене руководителя учреждения проводится инвентаризация. </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bCs/>
          <w:sz w:val="24"/>
          <w:szCs w:val="24"/>
          <w:lang w:eastAsia="ru-RU"/>
        </w:rPr>
        <w:t xml:space="preserve">Ответственность за ведение учета возлагается на Главного бухгалтера Учреждения (п. 3 ст. 7 Закона 402-ФЗ). </w:t>
      </w:r>
      <w:r>
        <w:rPr>
          <w:rFonts w:ascii="Times New Roman" w:hAnsi="Times New Roman"/>
          <w:sz w:val="24"/>
          <w:szCs w:val="24"/>
          <w:lang w:eastAsia="ru-RU"/>
        </w:rPr>
        <w:t>Главный бухгалтер:</w:t>
      </w:r>
    </w:p>
    <w:p>
      <w:pPr>
        <w:pStyle w:val="Normal"/>
        <w:numPr>
          <w:ilvl w:val="0"/>
          <w:numId w:val="2"/>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подчиняется непосредственно Руководителю Учреждения,</w:t>
      </w:r>
    </w:p>
    <w:p>
      <w:pPr>
        <w:pStyle w:val="Normal"/>
        <w:numPr>
          <w:ilvl w:val="0"/>
          <w:numId w:val="2"/>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несет ответственность за формирование учетной политики, ведение бухгалтерского учета, своевременное представление полной и достоверной бухгалтерской отчетности (п. 8 Приказа 274н),</w:t>
      </w:r>
    </w:p>
    <w:p>
      <w:pPr>
        <w:pStyle w:val="Normal"/>
        <w:numPr>
          <w:ilvl w:val="0"/>
          <w:numId w:val="2"/>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устанавливает требования к порядку заполнения первичных учетных документов, обязательные к применению всеми сотрудниками учреждения (п. 3 ст. 9 Закона 402-ФЗ)</w:t>
      </w:r>
    </w:p>
    <w:p>
      <w:pPr>
        <w:pStyle w:val="Normal"/>
        <w:numPr>
          <w:ilvl w:val="0"/>
          <w:numId w:val="2"/>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не несет ответственность за соответствие составленных другими лицами первичных учетных документов свершившимся фактам хозяйственной жизни (п. 24 Приказа 256н).</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В учреждении создана единая бухгалтерская служба, возглавляемая Главным бухгалтером, осуществляющая ведение всех разделов бюджетного учета и хозяйственных операций. Работники бухгалтерии несут ответственность за состояние бухгалтерского учета и достоверность контролируемых ими показателей бюджетной отчетности. Деятельность работников бухгалтерии регламентируется их должностными инструкциями.</w:t>
      </w:r>
    </w:p>
    <w:p>
      <w:pPr>
        <w:pStyle w:val="Normal"/>
        <w:spacing w:lineRule="auto" w:line="240" w:before="0" w:after="0"/>
        <w:ind w:firstLine="540"/>
        <w:jc w:val="both"/>
        <w:rPr>
          <w:rFonts w:ascii="Times New Roman" w:hAnsi="Times New Roman"/>
          <w:sz w:val="24"/>
          <w:szCs w:val="24"/>
        </w:rPr>
      </w:pPr>
      <w:r>
        <w:rPr>
          <w:rFonts w:ascii="Times New Roman" w:hAnsi="Times New Roman"/>
          <w:sz w:val="24"/>
          <w:szCs w:val="24"/>
          <w:lang w:eastAsia="ru-RU"/>
        </w:rPr>
        <w:t xml:space="preserve">Ведение бухгалтерского учета ведется автоматизированным способом с применением программы </w:t>
      </w:r>
      <w:r>
        <w:rPr>
          <w:rFonts w:ascii="Times New Roman" w:hAnsi="Times New Roman"/>
          <w:sz w:val="24"/>
          <w:szCs w:val="24"/>
        </w:rPr>
        <w:t>1С «Бухгалтерия государственного учреждения», «Зарплата и кадры государственного учреждения».</w:t>
      </w:r>
    </w:p>
    <w:p>
      <w:pPr>
        <w:pStyle w:val="NormalWeb"/>
        <w:spacing w:beforeAutospacing="0" w:before="0" w:afterAutospacing="0" w:after="0"/>
        <w:jc w:val="both"/>
        <w:rPr/>
      </w:pPr>
      <w:r>
        <w:rPr/>
        <w:t xml:space="preserve">с использованием телекоммуникационных каналов связи и электронной подписи бухгалтерия учреждения осуществляет электронный документооборот по следующим направлениям: </w:t>
      </w:r>
    </w:p>
    <w:p>
      <w:pPr>
        <w:pStyle w:val="13"/>
        <w:ind w:left="0" w:hanging="0"/>
        <w:jc w:val="both"/>
        <w:rPr/>
      </w:pPr>
      <w:r>
        <w:rPr/>
        <w:t>- система электронного документооборота с территориальным органом Федерального казначейства;</w:t>
      </w:r>
    </w:p>
    <w:p>
      <w:pPr>
        <w:pStyle w:val="13"/>
        <w:ind w:left="0" w:hanging="0"/>
        <w:jc w:val="both"/>
        <w:rPr/>
      </w:pPr>
      <w:r>
        <w:rPr/>
        <w:t>- передача бухгалтерской отчетности учредителю;</w:t>
      </w:r>
    </w:p>
    <w:p>
      <w:pPr>
        <w:pStyle w:val="13"/>
        <w:ind w:left="0" w:hanging="0"/>
        <w:jc w:val="both"/>
        <w:rPr/>
      </w:pPr>
      <w:r>
        <w:rPr/>
        <w:t>- передача отчетности по налогам, сборам и иным обязательным платежам в инспекцию Федеральной налоговой службы;</w:t>
      </w:r>
    </w:p>
    <w:p>
      <w:pPr>
        <w:pStyle w:val="13"/>
        <w:ind w:left="0" w:hanging="0"/>
        <w:jc w:val="both"/>
        <w:rPr/>
      </w:pPr>
      <w:r>
        <w:rPr/>
        <w:t>- передача отчетности в отделение Пенсионного фонда.</w:t>
      </w:r>
    </w:p>
    <w:p>
      <w:pPr>
        <w:pStyle w:val="Normal"/>
        <w:numPr>
          <w:ilvl w:val="0"/>
          <w:numId w:val="0"/>
        </w:numPr>
        <w:spacing w:lineRule="auto" w:line="240" w:beforeAutospacing="1" w:afterAutospacing="1"/>
        <w:ind w:left="0" w:hanging="0"/>
        <w:jc w:val="center"/>
        <w:outlineLvl w:val="1"/>
        <w:rPr>
          <w:rFonts w:ascii="Times New Roman" w:hAnsi="Times New Roman"/>
          <w:b/>
          <w:b/>
          <w:sz w:val="24"/>
          <w:szCs w:val="24"/>
          <w:lang w:eastAsia="ru-RU"/>
        </w:rPr>
      </w:pPr>
      <w:r>
        <w:rPr>
          <w:rFonts w:ascii="Times New Roman" w:hAnsi="Times New Roman"/>
          <w:b/>
          <w:sz w:val="24"/>
          <w:szCs w:val="24"/>
          <w:lang w:eastAsia="ru-RU"/>
        </w:rPr>
        <w:t>Правила документооборота и технология обработки учетной информации</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Первичные учетные документы и учетные регистры составляются: </w:t>
      </w:r>
    </w:p>
    <w:p>
      <w:pPr>
        <w:pStyle w:val="Normal"/>
        <w:numPr>
          <w:ilvl w:val="0"/>
          <w:numId w:val="9"/>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По унифицированным формам, установленным Приказом Минфина России от 30.03.2015 N 52н.</w:t>
      </w:r>
    </w:p>
    <w:p>
      <w:pPr>
        <w:pStyle w:val="Normal"/>
        <w:numPr>
          <w:ilvl w:val="0"/>
          <w:numId w:val="9"/>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xml:space="preserve">При отсутствии установленных Приказом 52н форм, - формами документов, унифицированными другими приказами профильных министерств и органов власти. Порядок применения таких форм утверждается в настоящей Учетной политике. </w:t>
      </w:r>
    </w:p>
    <w:p>
      <w:pPr>
        <w:pStyle w:val="Normal"/>
        <w:numPr>
          <w:ilvl w:val="0"/>
          <w:numId w:val="9"/>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xml:space="preserve">По формам, разработанным учреждением самостоятельно, с учетом обязательных реквизитов, предусмотренных п. 25 Приказа 256н. Порядок применения таких форм утверждается в настоящей Учетной политике. </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В первичных учетных документах могут содержаться дополнительные реквизиты в целях получения дополнительной информации для бухгалтерского или налогового учета. </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Периодичность, и сроки составления форм первичных учетных документов и регистров бюджетного учета, а также лица, ответственные за составление, регистрацию и хранение указанных документов (регистров) оформляется по утвержденному Графику документооборота (Приложение № 3 к Учетной политике).</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Своевременное и качественное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лица, ответственные за оформление факта хозяйственной жизни и подписавшие эти документы, поименованные в Графике документооборота (Приложение № 3 к Учетной политике) (п. 23 Приказа 256н).</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Перечень должностных лиц, имеющих право подписи первичных учетных документов, денежных и расчетных документов, финансовых обязательств приведен в Приложении № 1 к Учетной политике.</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Проверенные и принятые к учету первичные учетные документы систематизируются по датам совершения операции (в хронологическом порядке) и отражаются накопительным способом в регистрах бюджетного учета.</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Поступление первичных документов, оформленных на бумажном носителе, для регистрации в бухгалтерию оформляется с указанием даты получения и подписи ответственного за регистрацию факта хозяйственной жизни бухгалтера (п. 9 Приказа 274н)</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Регистры бюджетного учета формируются в электронном виде без применения электронной подписи. Периодичность формирования регистров бухгалтерского учета на бумажных носителях установлена Приложением № 4 к Учетной политике. </w:t>
      </w:r>
    </w:p>
    <w:p>
      <w:pPr>
        <w:pStyle w:val="Normal"/>
        <w:keepNext w:val="true"/>
        <w:numPr>
          <w:ilvl w:val="0"/>
          <w:numId w:val="0"/>
        </w:numPr>
        <w:spacing w:lineRule="auto" w:line="240" w:beforeAutospacing="1" w:afterAutospacing="1"/>
        <w:ind w:left="0" w:hanging="0"/>
        <w:jc w:val="center"/>
        <w:outlineLvl w:val="0"/>
        <w:rPr>
          <w:rFonts w:ascii="Times New Roman" w:hAnsi="Times New Roman"/>
          <w:b/>
          <w:b/>
          <w:bCs/>
          <w:kern w:val="2"/>
          <w:sz w:val="24"/>
          <w:szCs w:val="24"/>
          <w:lang w:eastAsia="ru-RU"/>
        </w:rPr>
      </w:pPr>
      <w:r>
        <w:rPr>
          <w:rFonts w:ascii="Times New Roman" w:hAnsi="Times New Roman"/>
          <w:b/>
          <w:bCs/>
          <w:kern w:val="2"/>
          <w:sz w:val="24"/>
          <w:szCs w:val="24"/>
          <w:lang w:eastAsia="ru-RU"/>
        </w:rPr>
        <w:t>Формирование рабочего Плана счетов</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Рабочий план счетов бухгалтерского учета - систематизированный перечень счетов бухгалтерского учета формируется на основании Единого Плана счетов бухгалтерского учета. Рабочий план счетов бухгалтерского учета установлен Приложением № 2 к Учетной политике. </w:t>
      </w:r>
    </w:p>
    <w:p>
      <w:pPr>
        <w:pStyle w:val="Normal"/>
        <w:spacing w:lineRule="auto" w:line="240" w:before="0" w:after="0"/>
        <w:ind w:firstLine="709"/>
        <w:jc w:val="both"/>
        <w:rPr>
          <w:rFonts w:ascii="Times New Roman" w:hAnsi="Times New Roman"/>
          <w:sz w:val="24"/>
          <w:szCs w:val="24"/>
        </w:rPr>
      </w:pPr>
      <w:r>
        <w:rPr>
          <w:rFonts w:ascii="Times New Roman" w:hAnsi="Times New Roman"/>
          <w:sz w:val="24"/>
          <w:szCs w:val="24"/>
        </w:rPr>
        <w:t>Рабочий план счетов, а также требования к структуре аналитического учета, утвержденные в рамках формирования учетной политики, применяются непрерывно и изменяется при условии обеспечения сопоставимости показателей бухгалтерского учета и отчетности за отчетный, текущий и очередной финансовый годы (очередной финансовый год и плановый период).</w:t>
      </w:r>
    </w:p>
    <w:p>
      <w:pPr>
        <w:pStyle w:val="Normal"/>
        <w:spacing w:lineRule="auto" w:line="240" w:before="0" w:after="0"/>
        <w:ind w:firstLine="709"/>
        <w:jc w:val="both"/>
        <w:rPr>
          <w:rFonts w:ascii="Times New Roman" w:hAnsi="Times New Roman"/>
          <w:sz w:val="24"/>
          <w:szCs w:val="24"/>
        </w:rPr>
      </w:pPr>
      <w:r>
        <w:rPr>
          <w:rFonts w:ascii="Times New Roman" w:hAnsi="Times New Roman"/>
          <w:sz w:val="24"/>
          <w:szCs w:val="24"/>
        </w:rPr>
        <w:t>План счетов содержит пять разделов, сгруппированных по экономическому содержанию в целях составления достоверной финансовой отчетности и отражения показателей, необходимых для формирования государственного задания, бюджетной сметы (сметы доходов и расходов, плана финансово-хозяйственной деятельности) учреждения.</w:t>
      </w:r>
    </w:p>
    <w:p>
      <w:pPr>
        <w:pStyle w:val="ConsPlusTitle"/>
        <w:widowControl/>
        <w:ind w:firstLine="709"/>
        <w:jc w:val="both"/>
        <w:rPr>
          <w:rFonts w:ascii="Times New Roman" w:hAnsi="Times New Roman" w:cs="Times New Roman"/>
          <w:sz w:val="24"/>
          <w:szCs w:val="24"/>
        </w:rPr>
      </w:pPr>
      <w:r>
        <w:rPr>
          <w:rFonts w:cs="Times New Roman" w:ascii="Times New Roman" w:hAnsi="Times New Roman"/>
          <w:b w:val="false"/>
          <w:sz w:val="24"/>
          <w:szCs w:val="24"/>
        </w:rPr>
        <w:t>Номер счета Плана счетов (Рабочего плана счетов) состоит из 26 разрядов</w:t>
      </w:r>
      <w:r>
        <w:rPr>
          <w:rFonts w:cs="Times New Roman" w:ascii="Times New Roman" w:hAnsi="Times New Roman"/>
          <w:sz w:val="24"/>
          <w:szCs w:val="24"/>
        </w:rPr>
        <w:t>.</w:t>
      </w:r>
    </w:p>
    <w:p>
      <w:pPr>
        <w:pStyle w:val="ConsPlusTitle"/>
        <w:widowControl/>
        <w:jc w:val="both"/>
        <w:rPr>
          <w:rFonts w:ascii="Times New Roman" w:hAnsi="Times New Roman" w:cs="Times New Roman"/>
          <w:b w:val="false"/>
          <w:b w:val="false"/>
          <w:sz w:val="24"/>
          <w:szCs w:val="24"/>
        </w:rPr>
      </w:pPr>
      <w:r>
        <w:rPr>
          <w:rFonts w:cs="Times New Roman" w:ascii="Times New Roman" w:hAnsi="Times New Roman"/>
          <w:b w:val="false"/>
          <w:sz w:val="24"/>
          <w:szCs w:val="24"/>
        </w:rPr>
        <w:t>При ведении учреждением бухгалтерского учета хозяйственные операции в зависимости от их экономического содержания отражаются на счетах  Рабочего плана счетов, содержащих в структуре номера счета:</w:t>
      </w:r>
      <w:bookmarkStart w:id="0" w:name="bssPhr632"/>
      <w:bookmarkStart w:id="1" w:name="ZAP2LPG3KA"/>
      <w:bookmarkStart w:id="2" w:name="ZAP2GAU3IP"/>
      <w:bookmarkEnd w:id="0"/>
      <w:bookmarkEnd w:id="1"/>
      <w:bookmarkEnd w:id="2"/>
    </w:p>
    <w:p>
      <w:pPr>
        <w:pStyle w:val="ConsPlusTitle"/>
        <w:widowControl/>
        <w:jc w:val="both"/>
        <w:rPr>
          <w:rFonts w:ascii="Times New Roman" w:hAnsi="Times New Roman" w:cs="Times New Roman"/>
          <w:b w:val="false"/>
          <w:b w:val="false"/>
          <w:sz w:val="24"/>
          <w:szCs w:val="24"/>
        </w:rPr>
      </w:pPr>
      <w:r>
        <w:rPr>
          <w:rFonts w:cs="Times New Roman" w:ascii="Times New Roman" w:hAnsi="Times New Roman"/>
          <w:b w:val="false"/>
          <w:sz w:val="24"/>
          <w:szCs w:val="24"/>
        </w:rPr>
        <w:t>в 1-4 разряде- код раздела, код подраздела расходов бюджета</w:t>
      </w:r>
    </w:p>
    <w:p>
      <w:pPr>
        <w:pStyle w:val="ConsPlusTitle"/>
        <w:widowControl/>
        <w:jc w:val="both"/>
        <w:rPr>
          <w:rFonts w:ascii="Times New Roman" w:hAnsi="Times New Roman" w:cs="Times New Roman"/>
          <w:b w:val="false"/>
          <w:b w:val="false"/>
          <w:sz w:val="24"/>
          <w:szCs w:val="24"/>
        </w:rPr>
      </w:pPr>
      <w:r>
        <w:rPr>
          <w:rFonts w:cs="Times New Roman" w:ascii="Times New Roman" w:hAnsi="Times New Roman"/>
          <w:b w:val="false"/>
          <w:sz w:val="24"/>
          <w:szCs w:val="24"/>
        </w:rPr>
        <w:t>5-14 разрядах - нули,</w:t>
      </w:r>
      <w:bookmarkStart w:id="3" w:name="bssPhr633"/>
      <w:bookmarkStart w:id="4" w:name="ZAP2R4I3M9"/>
      <w:bookmarkStart w:id="5" w:name="ZAP2LM03KO"/>
      <w:bookmarkEnd w:id="3"/>
      <w:bookmarkEnd w:id="4"/>
      <w:bookmarkEnd w:id="5"/>
    </w:p>
    <w:p>
      <w:pPr>
        <w:pStyle w:val="ConsPlusTitle"/>
        <w:widowControl/>
        <w:jc w:val="both"/>
        <w:rPr>
          <w:rFonts w:ascii="Times New Roman" w:hAnsi="Times New Roman" w:cs="Times New Roman"/>
          <w:b w:val="false"/>
          <w:b w:val="false"/>
          <w:sz w:val="24"/>
          <w:szCs w:val="24"/>
        </w:rPr>
      </w:pPr>
      <w:r>
        <w:rPr>
          <w:rFonts w:cs="Times New Roman" w:ascii="Times New Roman" w:hAnsi="Times New Roman"/>
          <w:b w:val="false"/>
          <w:sz w:val="24"/>
          <w:szCs w:val="24"/>
        </w:rPr>
        <w:t>в 15-17 разрядах - аналитический код вида поступлений - доходов, иных поступлений,  или аналитический код вида выбытий - расходов, иных выплат, соответствующий коду (составной части кода) бюджетной классификации Российской Федерации (аналитической группе подвида доходов бюджетов, коду вида расходов, аналитической группе вида источников финансирования дефицитов бюджетов).</w:t>
        <w:br/>
        <w:t>в 18 разряде - код вида финансового обеспечения (деятельности);</w:t>
      </w:r>
      <w:bookmarkStart w:id="6" w:name="bssPhr604"/>
      <w:bookmarkStart w:id="7" w:name="ZAP2HTO3LJ"/>
      <w:bookmarkStart w:id="8" w:name="XA00M6I2N3"/>
      <w:bookmarkStart w:id="9" w:name="ZAP2CF63K2"/>
      <w:bookmarkEnd w:id="6"/>
      <w:bookmarkEnd w:id="7"/>
      <w:bookmarkEnd w:id="8"/>
      <w:bookmarkEnd w:id="9"/>
    </w:p>
    <w:p>
      <w:pPr>
        <w:pStyle w:val="ConsPlusTitle"/>
        <w:widowControl/>
        <w:jc w:val="both"/>
        <w:rPr>
          <w:rFonts w:ascii="Times New Roman" w:hAnsi="Times New Roman" w:cs="Times New Roman"/>
          <w:b w:val="false"/>
          <w:b w:val="false"/>
          <w:sz w:val="24"/>
          <w:szCs w:val="24"/>
        </w:rPr>
      </w:pPr>
      <w:r>
        <w:rPr>
          <w:rFonts w:cs="Times New Roman" w:ascii="Times New Roman" w:hAnsi="Times New Roman"/>
          <w:b w:val="false"/>
          <w:sz w:val="24"/>
          <w:szCs w:val="24"/>
        </w:rPr>
        <w:t>19-21 разряд - код синтетического счета Плана счетов бухгалтерского (бюджетного) учета;</w:t>
      </w:r>
    </w:p>
    <w:p>
      <w:pPr>
        <w:pStyle w:val="Formattext"/>
        <w:spacing w:beforeAutospacing="0" w:before="0" w:afterAutospacing="0" w:after="0"/>
        <w:jc w:val="both"/>
        <w:rPr/>
      </w:pPr>
      <w:bookmarkStart w:id="10" w:name="bssPhr605"/>
      <w:bookmarkStart w:id="11" w:name="ZAP2KKA3MH"/>
      <w:bookmarkStart w:id="12" w:name="XA00M742N6"/>
      <w:bookmarkStart w:id="13" w:name="ZAP2F5O3L0"/>
      <w:bookmarkEnd w:id="10"/>
      <w:bookmarkEnd w:id="11"/>
      <w:bookmarkEnd w:id="12"/>
      <w:bookmarkEnd w:id="13"/>
      <w:r>
        <w:rPr/>
        <w:t>22-23 разряд - код аналитического счета Плана счетов бухгалтерского (бюджетного) учета;</w:t>
      </w:r>
    </w:p>
    <w:p>
      <w:pPr>
        <w:pStyle w:val="Formattext"/>
        <w:spacing w:beforeAutospacing="0" w:before="0" w:afterAutospacing="0" w:after="0"/>
        <w:jc w:val="both"/>
        <w:rPr/>
      </w:pPr>
      <w:bookmarkStart w:id="14" w:name="bssPhr606"/>
      <w:bookmarkStart w:id="15" w:name="ZAP2GF03I6"/>
      <w:bookmarkStart w:id="16" w:name="XA00M7M2N9"/>
      <w:bookmarkStart w:id="17" w:name="ZAP2B0E3GL"/>
      <w:bookmarkEnd w:id="14"/>
      <w:bookmarkEnd w:id="15"/>
      <w:bookmarkEnd w:id="16"/>
      <w:bookmarkEnd w:id="17"/>
      <w:r>
        <w:rPr/>
        <w:t>24-26 разряд - аналитический код вида поступлений, выбытий объекта учета.</w:t>
      </w:r>
      <w:bookmarkStart w:id="18" w:name="bssPhr607"/>
      <w:bookmarkStart w:id="19" w:name="ZAP2OIG3NM"/>
      <w:bookmarkStart w:id="20" w:name="ZAP2J3U3M5"/>
      <w:bookmarkEnd w:id="18"/>
      <w:bookmarkEnd w:id="19"/>
      <w:bookmarkEnd w:id="20"/>
    </w:p>
    <w:p>
      <w:pPr>
        <w:pStyle w:val="Formattext"/>
        <w:spacing w:beforeAutospacing="0" w:before="0" w:afterAutospacing="0" w:after="0"/>
        <w:jc w:val="both"/>
        <w:rPr/>
      </w:pPr>
      <w:r>
        <w:rPr/>
        <w:t>Разряды 18-26 номера счета Плана счетов (Рабочего плана счетов) образуют код счета бухгалтерского учета.</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Учреждение, при формировании рабочего плана счетов, применяет следующие коды вида финансового обеспечения (деятельности):</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«2» приносящая доход деятельность (собственные доходы учреждения);</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«3» средства во временном распоряжении;</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«4» субсидии на выполнение государственного (муниципального) задания;</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«5» субсидии на иные цели.</w:t>
      </w:r>
    </w:p>
    <w:p>
      <w:pPr>
        <w:pStyle w:val="Normal"/>
        <w:spacing w:lineRule="auto" w:line="240" w:beforeAutospacing="1" w:afterAutospacing="1"/>
        <w:ind w:firstLine="540"/>
        <w:jc w:val="both"/>
        <w:rPr>
          <w:rFonts w:ascii="Times New Roman" w:hAnsi="Times New Roman"/>
          <w:sz w:val="24"/>
          <w:szCs w:val="24"/>
          <w:lang w:eastAsia="ru-RU"/>
        </w:rPr>
      </w:pPr>
      <w:r>
        <w:rPr>
          <w:rFonts w:ascii="Times New Roman" w:hAnsi="Times New Roman"/>
          <w:b/>
          <w:bCs/>
          <w:kern w:val="2"/>
          <w:sz w:val="24"/>
          <w:szCs w:val="24"/>
          <w:lang w:eastAsia="ru-RU"/>
        </w:rPr>
        <w:t>Порядок проведения инвентаризации имущества и обязательств</w:t>
      </w:r>
    </w:p>
    <w:p>
      <w:pPr>
        <w:pStyle w:val="Normal"/>
        <w:spacing w:lineRule="auto" w:line="240" w:before="0" w:after="0"/>
        <w:ind w:firstLine="539"/>
        <w:jc w:val="both"/>
        <w:rPr>
          <w:rFonts w:ascii="Times New Roman" w:hAnsi="Times New Roman"/>
          <w:sz w:val="24"/>
          <w:szCs w:val="24"/>
          <w:lang w:eastAsia="ru-RU"/>
        </w:rPr>
      </w:pPr>
      <w:r>
        <w:rPr>
          <w:rFonts w:ascii="Times New Roman" w:hAnsi="Times New Roman"/>
          <w:sz w:val="24"/>
          <w:szCs w:val="24"/>
          <w:lang w:eastAsia="ru-RU"/>
        </w:rPr>
        <w:t>В целях обеспечения достоверности данных бухгалтерского учета и отчетности инвентаризация имущества, финансовых активов и обязательств учреждения производится в установленные сроки в соответствии с пунктом 3 статьи 11 Федерального закона от 06.12.2011г. № 402-ФЗ «О бухгалтерском учете». Документальное оформление проведения инвентаризаций и их результатов осуществляется в соответствии с Приказом Министерства Финансов Российской Федерации № 52н от 30.03.2015г., пункт 2, подпункт «в» пункта 14, пункты 70,79-82 ФСБУ «Концептуальные основы бухгалтерского учета и отчетности организаций государственного сектора», утвержденного приказом Минфина России от 31.12.2016г №256н, пункт 6 ФСБУ «Обесценение активов», утвержденного приказом Минфина России от 31.12.2016г №259н, пункт 9 ФСБУ «Представление бухгалтерской (финансовой) отчетности», утвержденного приказом Минфина России от 31.12.2016г №260н, пункт 9 ФСБУ «Учетная политика, оценочные значения и ошибки», утвержденного приказом Минфина России от 31.12.2017г №274н и Положением об инвентаризации.</w:t>
      </w:r>
    </w:p>
    <w:p>
      <w:pPr>
        <w:pStyle w:val="Normal"/>
        <w:spacing w:lineRule="auto" w:line="240" w:before="0" w:after="0"/>
        <w:ind w:firstLine="539"/>
        <w:jc w:val="both"/>
        <w:rPr>
          <w:rFonts w:ascii="Times New Roman" w:hAnsi="Times New Roman"/>
          <w:sz w:val="24"/>
          <w:szCs w:val="24"/>
          <w:lang w:eastAsia="ru-RU"/>
        </w:rPr>
      </w:pPr>
      <w:r>
        <w:rPr>
          <w:rFonts w:ascii="Times New Roman" w:hAnsi="Times New Roman"/>
          <w:sz w:val="24"/>
          <w:szCs w:val="24"/>
          <w:lang w:eastAsia="ru-RU"/>
        </w:rPr>
        <w:t xml:space="preserve">Для проведения инвентаризации приказом Заведующего создается инвентаризационная комиссия. </w:t>
      </w:r>
    </w:p>
    <w:p>
      <w:pPr>
        <w:pStyle w:val="Normal"/>
        <w:spacing w:lineRule="auto" w:line="240" w:before="0" w:after="0"/>
        <w:ind w:firstLine="539"/>
        <w:jc w:val="both"/>
        <w:rPr>
          <w:rFonts w:ascii="Times New Roman" w:hAnsi="Times New Roman"/>
          <w:sz w:val="24"/>
          <w:szCs w:val="24"/>
          <w:lang w:eastAsia="ru-RU"/>
        </w:rPr>
      </w:pPr>
      <w:r>
        <w:rPr>
          <w:rFonts w:ascii="Times New Roman" w:hAnsi="Times New Roman"/>
          <w:sz w:val="24"/>
          <w:szCs w:val="24"/>
          <w:lang w:eastAsia="ru-RU"/>
        </w:rPr>
        <w:t>В отдельных случаях (при смене материально ответственных лиц, выявлении фактов хищения, стихийных бедствиях и т. д.) инвентаризацию может проводить специально созданная рабочая комиссия, состав которой утверждается отдельным приказом руководителя.</w:t>
      </w:r>
    </w:p>
    <w:p>
      <w:pPr>
        <w:pStyle w:val="Normal"/>
        <w:numPr>
          <w:ilvl w:val="0"/>
          <w:numId w:val="0"/>
        </w:numPr>
        <w:spacing w:lineRule="auto" w:line="240" w:beforeAutospacing="1" w:afterAutospacing="1"/>
        <w:ind w:left="0" w:hanging="0"/>
        <w:jc w:val="center"/>
        <w:outlineLvl w:val="1"/>
        <w:rPr>
          <w:rFonts w:ascii="Times New Roman" w:hAnsi="Times New Roman"/>
          <w:b/>
          <w:b/>
          <w:sz w:val="24"/>
          <w:szCs w:val="24"/>
          <w:lang w:eastAsia="ru-RU"/>
        </w:rPr>
      </w:pPr>
      <w:r>
        <w:rPr>
          <w:rFonts w:ascii="Times New Roman" w:hAnsi="Times New Roman"/>
          <w:b/>
          <w:sz w:val="24"/>
          <w:szCs w:val="24"/>
          <w:lang w:eastAsia="ru-RU"/>
        </w:rPr>
        <w:t>Особенности проведения инвентаризации перед годовой отчетностью</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Обязательная инвентаризация перед составлением годовой отчетности проводится с учетом следующих положений (п. 1.5 Приказа 49): </w:t>
      </w:r>
    </w:p>
    <w:p>
      <w:pPr>
        <w:pStyle w:val="Normal"/>
        <w:numPr>
          <w:ilvl w:val="0"/>
          <w:numId w:val="10"/>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Перед составлением годовой отчетности инвентаризации подлежит все имущество и обязательства как на балансовых, так и на забалансовых счетах (п. 332 Инструкции 157н)</w:t>
      </w:r>
    </w:p>
    <w:p>
      <w:pPr>
        <w:pStyle w:val="Normal"/>
        <w:numPr>
          <w:ilvl w:val="0"/>
          <w:numId w:val="10"/>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xml:space="preserve">Инвентаризация имущества перед составлением годовой бюджетной отчетности начинается не ранее 1 октября отчетного года; результаты инвентаризации имущества, проведенной в четвертом квартале отчетного года по иным основаниям зачитываются в составе годовой инвентаризации имущества </w:t>
      </w:r>
    </w:p>
    <w:p>
      <w:pPr>
        <w:pStyle w:val="Normal"/>
        <w:numPr>
          <w:ilvl w:val="0"/>
          <w:numId w:val="10"/>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Инвентаризация основных средств проводится один раз в год не ранее 1 октября перед составлением годовой бюджетной отчетности,</w:t>
      </w:r>
    </w:p>
    <w:p>
      <w:pPr>
        <w:pStyle w:val="Normal"/>
        <w:numPr>
          <w:ilvl w:val="0"/>
          <w:numId w:val="10"/>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Нематериальных активов - один раз в год не ранее 1 октября перед составлением годовой бюджетной отчетности,</w:t>
      </w:r>
    </w:p>
    <w:p>
      <w:pPr>
        <w:pStyle w:val="Normal"/>
        <w:numPr>
          <w:ilvl w:val="0"/>
          <w:numId w:val="10"/>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Вложений в нефинансовые активы - один раз в год не ранее 1 октября перед составлением годовой бюджетной отчетности,</w:t>
      </w:r>
    </w:p>
    <w:p>
      <w:pPr>
        <w:pStyle w:val="Normal"/>
        <w:numPr>
          <w:ilvl w:val="0"/>
          <w:numId w:val="10"/>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xml:space="preserve">Материальных запасов - один раз в год не ранее 1 октября перед составлением годовой бюджетной отчетности, </w:t>
      </w:r>
    </w:p>
    <w:p>
      <w:pPr>
        <w:pStyle w:val="Normal"/>
        <w:numPr>
          <w:ilvl w:val="0"/>
          <w:numId w:val="10"/>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Финансовых активов - один раз в год  перед составлением годовой бюджетной отчетности,</w:t>
      </w:r>
    </w:p>
    <w:p>
      <w:pPr>
        <w:pStyle w:val="Normal"/>
        <w:numPr>
          <w:ilvl w:val="0"/>
          <w:numId w:val="10"/>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Обязательств - один раз в год  перед составлением годовой бюджетной отчетности.</w:t>
      </w:r>
    </w:p>
    <w:p>
      <w:pPr>
        <w:pStyle w:val="Normal"/>
        <w:numPr>
          <w:ilvl w:val="0"/>
          <w:numId w:val="10"/>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Инвентаризация  имущества, числящегося на забалансовых счетах проводится в сроки и в порядке проведения инвентаризации .</w:t>
      </w:r>
    </w:p>
    <w:p>
      <w:pPr>
        <w:pStyle w:val="Normal"/>
        <w:numPr>
          <w:ilvl w:val="0"/>
          <w:numId w:val="10"/>
        </w:numPr>
        <w:spacing w:lineRule="auto" w:line="240" w:before="0" w:afterAutospacing="1"/>
        <w:jc w:val="both"/>
        <w:rPr>
          <w:rFonts w:ascii="Times New Roman" w:hAnsi="Times New Roman"/>
          <w:sz w:val="24"/>
          <w:szCs w:val="24"/>
          <w:lang w:eastAsia="ru-RU"/>
        </w:rPr>
      </w:pPr>
      <w:r>
        <w:rPr>
          <w:rFonts w:ascii="Times New Roman" w:hAnsi="Times New Roman"/>
          <w:sz w:val="24"/>
          <w:szCs w:val="24"/>
          <w:lang w:eastAsia="ru-RU"/>
        </w:rPr>
        <w:t>Результаты инвентаризации по забалансовому счету 27 «Материальные ценности, выданные в личное пользование работникам (сотрудникам)» оформляются Инвентаризационными описями (ф. 0504087), составляемыми по каждому сотруднику, выдавшему имущество в личное пользование</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При проведении годовой инвентаризации инвентаризационная комиссия применяет положения Федерального стандарта «Обесценение активов»: </w:t>
      </w:r>
    </w:p>
    <w:p>
      <w:pPr>
        <w:pStyle w:val="Normal"/>
        <w:numPr>
          <w:ilvl w:val="0"/>
          <w:numId w:val="17"/>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xml:space="preserve">Выявляет внутренние и внешние признаки обесценения актива индивидуально (п. 6 Приказа 259н): </w:t>
      </w:r>
    </w:p>
    <w:p>
      <w:pPr>
        <w:pStyle w:val="Normal"/>
        <w:numPr>
          <w:ilvl w:val="1"/>
          <w:numId w:val="17"/>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Для каждого актива, не генерирующего денежные потоки</w:t>
      </w:r>
    </w:p>
    <w:p>
      <w:pPr>
        <w:pStyle w:val="Normal"/>
        <w:numPr>
          <w:ilvl w:val="1"/>
          <w:numId w:val="17"/>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Для каждого актива, генерирующего денежные потоки</w:t>
      </w:r>
    </w:p>
    <w:p>
      <w:pPr>
        <w:pStyle w:val="Normal"/>
        <w:numPr>
          <w:ilvl w:val="1"/>
          <w:numId w:val="17"/>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Для единицы, генерирующей денежные потоки</w:t>
      </w:r>
    </w:p>
    <w:p>
      <w:pPr>
        <w:pStyle w:val="Normal"/>
        <w:numPr>
          <w:ilvl w:val="0"/>
          <w:numId w:val="17"/>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xml:space="preserve">Наличие внутренних или внешних признаков обесценения инвентаризационная комиссия обозначает в графе «Примечание» соответствующих инвентаризационных описей </w:t>
      </w:r>
    </w:p>
    <w:p>
      <w:pPr>
        <w:pStyle w:val="Normal"/>
        <w:numPr>
          <w:ilvl w:val="0"/>
          <w:numId w:val="17"/>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xml:space="preserve">Выявляет наличие внутренних или внешних признаков снижения убытка от обесценения активов (п. 18 Приказа 259н) – для активов, по которым в предыдущих отчетных периодах был признан убыток от обесценения </w:t>
      </w:r>
    </w:p>
    <w:p>
      <w:pPr>
        <w:pStyle w:val="Normal"/>
        <w:numPr>
          <w:ilvl w:val="0"/>
          <w:numId w:val="17"/>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Наличие внутренних или внешних признаков восстановления убытка инвентаризационная комиссия обозначает в графе «Примечание» соответствующих инвентаризационных описей</w:t>
      </w:r>
    </w:p>
    <w:p>
      <w:pPr>
        <w:pStyle w:val="Normal"/>
        <w:numPr>
          <w:ilvl w:val="0"/>
          <w:numId w:val="17"/>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xml:space="preserve">Выносит рекомендации по необходимости оценки справедливой стоимости Комиссией по поступлению и выбытию активов для тех активов, по которым были обнаружены признаки обесценения или восстановления убытка от обесценения – в разделе «Заключение комиссии» соответствующих инвентаризационных описей  </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При составлении Инвентаризационной описи (сличительной ведомости) по объектам нефинансовых активов (ф. 0504087) указывается информация о состоянии объекта имущества на дату инвентаризации с учетом оценки его технического состояния и (или) степени вовлеченности в хозяйственный оборотов.</w:t>
      </w:r>
    </w:p>
    <w:p>
      <w:pPr>
        <w:pStyle w:val="Normal"/>
        <w:keepNext w:val="true"/>
        <w:numPr>
          <w:ilvl w:val="0"/>
          <w:numId w:val="0"/>
        </w:numPr>
        <w:spacing w:lineRule="auto" w:line="240" w:before="0" w:after="0"/>
        <w:ind w:left="0" w:hanging="0"/>
        <w:jc w:val="both"/>
        <w:outlineLvl w:val="0"/>
        <w:rPr>
          <w:rFonts w:ascii="Times New Roman" w:hAnsi="Times New Roman"/>
          <w:sz w:val="24"/>
          <w:szCs w:val="24"/>
          <w:lang w:eastAsia="ru-RU"/>
        </w:rPr>
      </w:pPr>
      <w:r>
        <w:rPr>
          <w:rFonts w:ascii="Times New Roman" w:hAnsi="Times New Roman"/>
          <w:sz w:val="24"/>
          <w:szCs w:val="24"/>
          <w:lang w:eastAsia="ru-RU"/>
        </w:rPr>
        <w:t xml:space="preserve">         </w:t>
      </w:r>
      <w:r>
        <w:rPr>
          <w:rFonts w:ascii="Times New Roman" w:hAnsi="Times New Roman"/>
          <w:sz w:val="24"/>
          <w:szCs w:val="24"/>
          <w:lang w:eastAsia="ru-RU"/>
        </w:rPr>
        <w:t xml:space="preserve">На основании инвентаризационных описей комиссия составляет Акт о результатах инвентаризации (ф. 0504835). При выявлении по результатам инвентаризации расхождений к Акту прилагается Ведомость расхождений по результатам инвентаризации (ф. 0504092). Этот акт представляется на рассмотрение и утверждение руководителю учреждения с приложением ведомости расхождений по результатам инвентаризации. </w:t>
      </w:r>
    </w:p>
    <w:p>
      <w:pPr>
        <w:pStyle w:val="Normal"/>
        <w:keepNext w:val="true"/>
        <w:numPr>
          <w:ilvl w:val="0"/>
          <w:numId w:val="0"/>
        </w:numPr>
        <w:spacing w:lineRule="auto" w:line="240" w:before="0" w:after="0"/>
        <w:ind w:left="0" w:firstLine="709"/>
        <w:jc w:val="both"/>
        <w:outlineLvl w:val="0"/>
        <w:rPr>
          <w:rFonts w:ascii="Times New Roman" w:hAnsi="Times New Roman"/>
          <w:sz w:val="24"/>
          <w:szCs w:val="24"/>
          <w:lang w:eastAsia="ru-RU"/>
        </w:rPr>
      </w:pPr>
      <w:r>
        <w:rPr>
          <w:rFonts w:ascii="Times New Roman" w:hAnsi="Times New Roman"/>
          <w:sz w:val="24"/>
          <w:szCs w:val="24"/>
          <w:lang w:eastAsia="ru-RU"/>
        </w:rPr>
        <w:t xml:space="preserve">По результатам инвентаризации руководитель учреждения издает приказ. </w:t>
      </w:r>
    </w:p>
    <w:p>
      <w:pPr>
        <w:pStyle w:val="Normal"/>
        <w:keepNext w:val="true"/>
        <w:numPr>
          <w:ilvl w:val="0"/>
          <w:numId w:val="0"/>
        </w:numPr>
        <w:spacing w:lineRule="auto" w:line="240" w:before="0" w:after="0"/>
        <w:ind w:left="0" w:firstLine="709"/>
        <w:jc w:val="both"/>
        <w:outlineLvl w:val="0"/>
        <w:rPr>
          <w:rFonts w:ascii="Times New Roman" w:hAnsi="Times New Roman"/>
          <w:sz w:val="24"/>
          <w:szCs w:val="24"/>
          <w:lang w:eastAsia="ru-RU"/>
        </w:rPr>
      </w:pPr>
      <w:r>
        <w:rPr>
          <w:rFonts w:ascii="Times New Roman" w:hAnsi="Times New Roman"/>
          <w:sz w:val="24"/>
          <w:szCs w:val="24"/>
          <w:lang w:eastAsia="ru-RU"/>
        </w:rPr>
        <w:t>Результаты проведения инвентаризации отражаются в бухгалтерском учете и отчетности того отчетного периода, в котором была закончена инвентаризация. При проведении инвентаризации в целях составления годовой отчетности результаты инвентаризации отражаются в этой годовой отчетности.</w:t>
      </w:r>
    </w:p>
    <w:p>
      <w:pPr>
        <w:pStyle w:val="Normal"/>
        <w:keepNext w:val="true"/>
        <w:numPr>
          <w:ilvl w:val="0"/>
          <w:numId w:val="0"/>
        </w:numPr>
        <w:spacing w:lineRule="auto" w:line="240" w:before="0" w:after="0"/>
        <w:ind w:left="0" w:firstLine="709"/>
        <w:jc w:val="both"/>
        <w:outlineLvl w:val="0"/>
        <w:rPr>
          <w:rFonts w:ascii="Times New Roman" w:hAnsi="Times New Roman"/>
          <w:sz w:val="24"/>
          <w:szCs w:val="24"/>
          <w:lang w:eastAsia="ru-RU"/>
        </w:rPr>
      </w:pPr>
      <w:r>
        <w:rPr>
          <w:rFonts w:ascii="Times New Roman" w:hAnsi="Times New Roman"/>
          <w:sz w:val="24"/>
          <w:szCs w:val="24"/>
          <w:lang w:eastAsia="ru-RU"/>
        </w:rPr>
      </w:r>
    </w:p>
    <w:p>
      <w:pPr>
        <w:pStyle w:val="Normal"/>
        <w:keepNext w:val="true"/>
        <w:numPr>
          <w:ilvl w:val="0"/>
          <w:numId w:val="0"/>
        </w:numPr>
        <w:spacing w:lineRule="auto" w:line="240" w:before="0" w:after="0"/>
        <w:ind w:left="0" w:hanging="0"/>
        <w:jc w:val="center"/>
        <w:outlineLvl w:val="0"/>
        <w:rPr>
          <w:rFonts w:ascii="Times New Roman" w:hAnsi="Times New Roman"/>
          <w:b/>
          <w:b/>
          <w:bCs/>
          <w:kern w:val="2"/>
          <w:sz w:val="24"/>
          <w:szCs w:val="24"/>
          <w:lang w:eastAsia="ru-RU"/>
        </w:rPr>
      </w:pPr>
      <w:r>
        <w:rPr>
          <w:rFonts w:ascii="Times New Roman" w:hAnsi="Times New Roman"/>
          <w:b/>
          <w:bCs/>
          <w:kern w:val="2"/>
          <w:sz w:val="24"/>
          <w:szCs w:val="24"/>
          <w:lang w:eastAsia="ru-RU"/>
        </w:rPr>
        <w:t>Порядок отражения событий после отчетной даты</w:t>
      </w:r>
    </w:p>
    <w:p>
      <w:pPr>
        <w:pStyle w:val="Normal"/>
        <w:keepNext w:val="true"/>
        <w:numPr>
          <w:ilvl w:val="0"/>
          <w:numId w:val="0"/>
        </w:numPr>
        <w:spacing w:lineRule="auto" w:line="240" w:before="0" w:after="0"/>
        <w:ind w:left="0" w:hanging="0"/>
        <w:jc w:val="center"/>
        <w:outlineLvl w:val="0"/>
        <w:rPr>
          <w:rFonts w:ascii="Times New Roman" w:hAnsi="Times New Roman"/>
          <w:b/>
          <w:b/>
          <w:bCs/>
          <w:kern w:val="2"/>
          <w:sz w:val="24"/>
          <w:szCs w:val="24"/>
          <w:lang w:eastAsia="ru-RU"/>
        </w:rPr>
      </w:pPr>
      <w:r>
        <w:rPr>
          <w:rFonts w:ascii="Times New Roman" w:hAnsi="Times New Roman"/>
          <w:b/>
          <w:bCs/>
          <w:kern w:val="2"/>
          <w:sz w:val="24"/>
          <w:szCs w:val="24"/>
          <w:lang w:eastAsia="ru-RU"/>
        </w:rPr>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К событиям после отчетной даты относятся (п. 7 Приказа 275н):</w:t>
      </w:r>
    </w:p>
    <w:p>
      <w:pPr>
        <w:pStyle w:val="Normal"/>
        <w:numPr>
          <w:ilvl w:val="0"/>
          <w:numId w:val="22"/>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События, которые подтверждают условия хозяйственной деятельности, существовавшие на отчетную дату (далее – корректирующие события)</w:t>
      </w:r>
    </w:p>
    <w:p>
      <w:pPr>
        <w:pStyle w:val="Normal"/>
        <w:numPr>
          <w:ilvl w:val="0"/>
          <w:numId w:val="22"/>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События, которые свидетельствуют об условиях хозяйственной деятельности, возникших после отчетной даты</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Существенное корректирующее событие после отчетной даты отражается в учете последним днем отчетного периода путем оформления дополнительной бухгалтерской записи, либо бухгалтерской записи, оформленной по способу "Красное сторно", и дополнительной бухгалтерской записи до отражения бухгалтерских записей по завершению финансового года. Кроме этого информация о таких событиях раскрывается в Пояснительной записке к отчетности.</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Решение о регистрации в бухгалтерской отчетности за отчетный год существенного корректирующего события принимает Главный бухгалтер Учреждения. Операция оформляется Бухгалтерской справкой (ф. 0504833).</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Поступление после отчетной даты первичных учетных документов, оформляющих факты хозяйственной жизни, возникшие в отчетном периоде, не является событием после отчетной даты.</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Некорректирующее событие после отчетной даты отражается в бухгалтерском учете путем выполнения бухгалтерских записей в периоде, следующем за отчетным. Информация о таких событиях отражается в текстовой части Пояснительной записки к отчетности за отчетный период. </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r>
    </w:p>
    <w:p>
      <w:pPr>
        <w:pStyle w:val="Normal"/>
        <w:keepNext w:val="true"/>
        <w:numPr>
          <w:ilvl w:val="0"/>
          <w:numId w:val="0"/>
        </w:numPr>
        <w:spacing w:lineRule="auto" w:line="240" w:before="0" w:after="0"/>
        <w:ind w:left="0" w:hanging="0"/>
        <w:jc w:val="center"/>
        <w:outlineLvl w:val="0"/>
        <w:rPr>
          <w:rFonts w:ascii="Times New Roman" w:hAnsi="Times New Roman"/>
          <w:b/>
          <w:b/>
          <w:bCs/>
          <w:kern w:val="2"/>
          <w:sz w:val="24"/>
          <w:szCs w:val="24"/>
          <w:lang w:eastAsia="ru-RU"/>
        </w:rPr>
      </w:pPr>
      <w:r>
        <w:rPr>
          <w:rFonts w:ascii="Times New Roman" w:hAnsi="Times New Roman"/>
          <w:b/>
          <w:bCs/>
          <w:kern w:val="2"/>
          <w:sz w:val="24"/>
          <w:szCs w:val="24"/>
          <w:lang w:eastAsia="ru-RU"/>
        </w:rPr>
      </w:r>
    </w:p>
    <w:p>
      <w:pPr>
        <w:pStyle w:val="Normal"/>
        <w:keepNext w:val="true"/>
        <w:numPr>
          <w:ilvl w:val="0"/>
          <w:numId w:val="0"/>
        </w:numPr>
        <w:spacing w:lineRule="auto" w:line="240" w:before="0" w:after="0"/>
        <w:ind w:left="0" w:hanging="0"/>
        <w:jc w:val="center"/>
        <w:outlineLvl w:val="0"/>
        <w:rPr>
          <w:rFonts w:ascii="Times New Roman" w:hAnsi="Times New Roman"/>
          <w:b/>
          <w:b/>
          <w:bCs/>
          <w:kern w:val="2"/>
          <w:sz w:val="24"/>
          <w:szCs w:val="24"/>
          <w:lang w:eastAsia="ru-RU"/>
        </w:rPr>
      </w:pPr>
      <w:r>
        <w:rPr>
          <w:rFonts w:ascii="Times New Roman" w:hAnsi="Times New Roman"/>
          <w:b/>
          <w:bCs/>
          <w:kern w:val="2"/>
          <w:sz w:val="24"/>
          <w:szCs w:val="24"/>
          <w:lang w:eastAsia="ru-RU"/>
        </w:rPr>
        <w:t xml:space="preserve">Внутренний контроль </w:t>
      </w:r>
    </w:p>
    <w:p>
      <w:pPr>
        <w:pStyle w:val="Normal"/>
        <w:keepNext w:val="true"/>
        <w:numPr>
          <w:ilvl w:val="0"/>
          <w:numId w:val="0"/>
        </w:numPr>
        <w:spacing w:lineRule="auto" w:line="240" w:before="0" w:after="0"/>
        <w:ind w:left="0" w:hanging="0"/>
        <w:jc w:val="center"/>
        <w:outlineLvl w:val="0"/>
        <w:rPr>
          <w:rFonts w:ascii="Times New Roman" w:hAnsi="Times New Roman"/>
          <w:b/>
          <w:b/>
          <w:bCs/>
          <w:kern w:val="2"/>
          <w:sz w:val="24"/>
          <w:szCs w:val="24"/>
          <w:lang w:eastAsia="ru-RU"/>
        </w:rPr>
      </w:pPr>
      <w:r>
        <w:rPr>
          <w:rFonts w:ascii="Times New Roman" w:hAnsi="Times New Roman"/>
          <w:b/>
          <w:bCs/>
          <w:kern w:val="2"/>
          <w:sz w:val="24"/>
          <w:szCs w:val="24"/>
          <w:lang w:eastAsia="ru-RU"/>
        </w:rPr>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Внутренний контроль проводится Учреждением на основании Положения (Приложение № 5 к Учетной политике).</w:t>
      </w:r>
    </w:p>
    <w:p>
      <w:pPr>
        <w:pStyle w:val="Normal"/>
        <w:spacing w:lineRule="auto" w:line="240" w:before="0" w:after="0"/>
        <w:ind w:firstLine="540"/>
        <w:jc w:val="both"/>
        <w:rPr>
          <w:rFonts w:ascii="Times New Roman" w:hAnsi="Times New Roman"/>
          <w:b/>
          <w:b/>
          <w:sz w:val="24"/>
          <w:szCs w:val="24"/>
          <w:lang w:eastAsia="ru-RU"/>
        </w:rPr>
      </w:pPr>
      <w:r>
        <w:rPr>
          <w:rFonts w:ascii="Times New Roman" w:hAnsi="Times New Roman"/>
          <w:b/>
          <w:sz w:val="24"/>
          <w:szCs w:val="24"/>
          <w:lang w:eastAsia="ru-RU"/>
        </w:rPr>
      </w:r>
    </w:p>
    <w:p>
      <w:pPr>
        <w:pStyle w:val="Normal"/>
        <w:keepNext w:val="true"/>
        <w:numPr>
          <w:ilvl w:val="0"/>
          <w:numId w:val="0"/>
        </w:numPr>
        <w:spacing w:lineRule="auto" w:line="240" w:before="0" w:after="0"/>
        <w:ind w:left="0" w:hanging="0"/>
        <w:jc w:val="center"/>
        <w:outlineLvl w:val="0"/>
        <w:rPr>
          <w:rFonts w:ascii="Times New Roman" w:hAnsi="Times New Roman"/>
          <w:b/>
          <w:b/>
          <w:bCs/>
          <w:kern w:val="2"/>
          <w:sz w:val="24"/>
          <w:szCs w:val="24"/>
          <w:lang w:eastAsia="ru-RU"/>
        </w:rPr>
      </w:pPr>
      <w:r>
        <w:rPr>
          <w:rFonts w:ascii="Times New Roman" w:hAnsi="Times New Roman"/>
          <w:b/>
          <w:bCs/>
          <w:kern w:val="2"/>
          <w:sz w:val="24"/>
          <w:szCs w:val="24"/>
          <w:lang w:eastAsia="ru-RU"/>
        </w:rPr>
        <w:t>Нефинансовые активы</w:t>
      </w:r>
    </w:p>
    <w:p>
      <w:pPr>
        <w:pStyle w:val="Normal"/>
        <w:keepNext w:val="true"/>
        <w:numPr>
          <w:ilvl w:val="0"/>
          <w:numId w:val="0"/>
        </w:numPr>
        <w:spacing w:lineRule="auto" w:line="240" w:before="0" w:after="0"/>
        <w:ind w:left="0" w:hanging="0"/>
        <w:jc w:val="center"/>
        <w:outlineLvl w:val="0"/>
        <w:rPr>
          <w:rFonts w:ascii="Times New Roman" w:hAnsi="Times New Roman"/>
          <w:b/>
          <w:b/>
          <w:bCs/>
          <w:kern w:val="2"/>
          <w:sz w:val="24"/>
          <w:szCs w:val="24"/>
          <w:lang w:eastAsia="ru-RU"/>
        </w:rPr>
      </w:pPr>
      <w:r>
        <w:rPr>
          <w:rFonts w:ascii="Times New Roman" w:hAnsi="Times New Roman"/>
          <w:b/>
          <w:bCs/>
          <w:kern w:val="2"/>
          <w:sz w:val="24"/>
          <w:szCs w:val="24"/>
          <w:lang w:eastAsia="ru-RU"/>
        </w:rPr>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Нефинансовые активы в Учреждении для целей настоящего раздела -  основные средства, нематериальные и непроизведенные активы, материальные запасы. </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Объекты нефинансовых активов принимаются к бухгалтерскому учету по их первоначальной (фактической) стоимости. Первоначальной стоимостью объектов нефинансовых активов признается сумма фактических вложений в их приобретение, сооружение или изготовление (создание), с учетом сумм налога на добавленную стоимость, предъявленных учреждению поставщиками и (или) подрядчиками (кроме их приобретения, сооружения и изготовления в рамках деятельности, облагаемой НДС, если иное не предусмотрено налоговым законодательством Российской Федерации)</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xml:space="preserve">             </w:t>
      </w:r>
      <w:r>
        <w:rPr>
          <w:rFonts w:ascii="Times New Roman" w:hAnsi="Times New Roman"/>
          <w:sz w:val="24"/>
          <w:szCs w:val="24"/>
          <w:lang w:eastAsia="ru-RU"/>
        </w:rPr>
        <w:t>Первоначальной (фактической) стоимостью объектов нефинансовых активов, полученных учреждением безвозмездно, в том числе по договору дарения, признается их текущая оценочная стоимость на дату принятия к бухгалтерскому учету, увеличенная на стоимость услуг, связанных с их доставкой, регистрацией и приведением их в состояние, пригодное для использования.</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xml:space="preserve">             </w:t>
      </w:r>
      <w:r>
        <w:rPr>
          <w:rFonts w:ascii="Times New Roman" w:hAnsi="Times New Roman"/>
          <w:sz w:val="24"/>
          <w:szCs w:val="24"/>
          <w:lang w:eastAsia="ru-RU"/>
        </w:rPr>
        <w:t>Первоначальная стоимость материальных запасов при их приобретении, изготовлении (создании) в целях ведения бухгалтерского учета признается их фактической стоимостью. Материальные объекты нефинансовых активов, полученные учреждением в безвозмездное или возмездное пользование, учитываются детским садом  на забалансовом счете по стоимости, указанной (определенной) собственником (балансодержателем) имущества, а в случаях не указания собственником (балансодержателем) стоимости - в условной оценке: один объект, один рубль.</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В учреждении формируется постоянно действующая Комиссия по принятию к учету и списанию объектов нефинансовых активов (Приложение № 6 к Учетной политике).</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В случаях, когда требуется принятие к бюджетному учету объектов нефинансовых активов по оценочной стоимости или по справедливой стоимости, она определяется решением Комиссии по поступлению и выбытию активов на дату принятия к бюджетному учету.</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Принятие к учету объектов основных средств, нематериальных, непроизведенных активов, материальных запасов, в отношении которых установлен срок эксплуатации, а также выбытие основных средств, нематериальных, непроизведенных активов, материальных запасов, в отношении которых установлен срок эксплуатации, (в том числе в результате принятия решения об их списании) осуществляется, на основании решения постоянно действующей Комиссии по поступлению и выбытию активов (п. 34 Инструкции 157н).</w:t>
      </w:r>
    </w:p>
    <w:p>
      <w:pPr>
        <w:pStyle w:val="Normal"/>
        <w:keepNext w:val="true"/>
        <w:numPr>
          <w:ilvl w:val="0"/>
          <w:numId w:val="0"/>
        </w:numPr>
        <w:spacing w:lineRule="auto" w:line="240" w:beforeAutospacing="1" w:afterAutospacing="1"/>
        <w:ind w:left="0" w:hanging="0"/>
        <w:jc w:val="center"/>
        <w:outlineLvl w:val="0"/>
        <w:rPr>
          <w:rFonts w:ascii="Times New Roman" w:hAnsi="Times New Roman"/>
          <w:b/>
          <w:b/>
          <w:bCs/>
          <w:kern w:val="2"/>
          <w:sz w:val="24"/>
          <w:szCs w:val="24"/>
          <w:lang w:eastAsia="ru-RU"/>
        </w:rPr>
      </w:pPr>
      <w:r>
        <w:rPr>
          <w:rFonts w:ascii="Times New Roman" w:hAnsi="Times New Roman"/>
          <w:b/>
          <w:bCs/>
          <w:kern w:val="2"/>
          <w:sz w:val="24"/>
          <w:szCs w:val="24"/>
          <w:lang w:eastAsia="ru-RU"/>
        </w:rPr>
        <w:t>Основные средства</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Единицей бюджетного учета основных средств является инвентарный объект.  Инвентарным объектом является: </w:t>
      </w:r>
    </w:p>
    <w:p>
      <w:pPr>
        <w:pStyle w:val="Normal"/>
        <w:numPr>
          <w:ilvl w:val="0"/>
          <w:numId w:val="18"/>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объект имущества со всеми приспособлениями и принадлежностями</w:t>
      </w:r>
    </w:p>
    <w:p>
      <w:pPr>
        <w:pStyle w:val="Normal"/>
        <w:numPr>
          <w:ilvl w:val="0"/>
          <w:numId w:val="18"/>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отдельный конструктивно обособленный предмет, предназначенный для выполнения определенных самостоятельных функций</w:t>
      </w:r>
    </w:p>
    <w:p>
      <w:pPr>
        <w:pStyle w:val="Normal"/>
        <w:numPr>
          <w:ilvl w:val="0"/>
          <w:numId w:val="18"/>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обособленный комплекс конструктивно-сочлененных предметов, представляющих собой единое целое и предназначенных для выполнения определенной работы</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В качестве одного инвентарного объекта учитывается компьютеры в комплекте: монитор, системный блок, мышь, клавиатура. В случае если мониторы являются самостоятельными устройствами вывода информации (информационные панели), они учитываются как самостоятельные инвентарные объекты основных средств. Решение о выделении таких объектов в качестве самостоятельных объектов основных средств принимается Комиссией по поступлению и выбытию активов при принятии к учету. </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При признании объекта основных средств Комиссией по поступлению и выбытию активов определяется состав инвентарного объекта с учетом следующих положений: </w:t>
      </w:r>
    </w:p>
    <w:p>
      <w:pPr>
        <w:pStyle w:val="Normal"/>
        <w:numPr>
          <w:ilvl w:val="0"/>
          <w:numId w:val="19"/>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Однородные объекты основных средств (приобретенные у одного поставщика по одной стоимости в рамках одного договора или контракта) стоимостью от 10.000 до 100.000 рублей (библиотечные фонды, периферийные устройства и компьютерное оборудование, мебель, используемая в течение одного и того же периода времени (столы, стулья, шкафы, иная мебель, используемая для обстановки одного помещения и т.д.), объединяются в один инвентарный объект, признаваемый для целей бухгалтерского учета комплексом объектов основных средств. Учет данных объектов ведется в одной Инвентарной карточке группового учета нефинансовых активов (ф. 0504032)</w:t>
      </w:r>
    </w:p>
    <w:p>
      <w:pPr>
        <w:pStyle w:val="Normal"/>
        <w:numPr>
          <w:ilvl w:val="0"/>
          <w:numId w:val="19"/>
        </w:numPr>
        <w:spacing w:lineRule="auto" w:line="240" w:before="0" w:afterAutospacing="1"/>
        <w:jc w:val="both"/>
        <w:rPr>
          <w:rFonts w:ascii="Times New Roman" w:hAnsi="Times New Roman"/>
          <w:sz w:val="24"/>
          <w:szCs w:val="24"/>
          <w:lang w:eastAsia="ru-RU"/>
        </w:rPr>
      </w:pPr>
      <w:r>
        <w:rPr>
          <w:rFonts w:ascii="Times New Roman" w:hAnsi="Times New Roman"/>
          <w:sz w:val="24"/>
          <w:szCs w:val="24"/>
          <w:lang w:eastAsia="ru-RU"/>
        </w:rPr>
        <w:t xml:space="preserve">Единицей учета основных средств может признаваться часть объекта имущества, в отношении которой самостоятельно можно определить период поступления будущих экономических выгод, полезного потенциала, либо часть имущества, имеющая отличный от остальных частей срок полезного использования, и стоимость которой составляет значительную (более 30%) величину от общей стоимости объекта имущества (далее - </w:t>
      </w:r>
      <w:r>
        <w:rPr>
          <w:rFonts w:ascii="Times New Roman" w:hAnsi="Times New Roman"/>
          <w:b/>
          <w:i/>
          <w:sz w:val="24"/>
          <w:szCs w:val="24"/>
          <w:lang w:eastAsia="ru-RU"/>
        </w:rPr>
        <w:t>структурная часть объекта основных средств</w:t>
      </w:r>
      <w:r>
        <w:rPr>
          <w:rFonts w:ascii="Times New Roman" w:hAnsi="Times New Roman"/>
          <w:sz w:val="24"/>
          <w:szCs w:val="24"/>
          <w:lang w:eastAsia="ru-RU"/>
        </w:rPr>
        <w:t>). Решение о целесообразности выделения таких частей принимает Комиссия по поступлению и выбытию активов</w:t>
      </w:r>
    </w:p>
    <w:p>
      <w:pPr>
        <w:pStyle w:val="Normal"/>
        <w:spacing w:lineRule="auto" w:line="240" w:beforeAutospacing="1" w:afterAutospacing="1"/>
        <w:ind w:firstLine="540"/>
        <w:jc w:val="both"/>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При принятии к учету Комиссия по поступлению и выбытию активов определяет составные части объекта основных средств. Сведения о составе регистрируются при заполнении Раздела 5 Инвентарной карточки (ф. 0504031). В Инвентарной карточке (ф. 0504031), при этом Комиссия определяет основной объект, а также важнейшие пристройки, приспособления и принадлежности, относящиеся к основному объекту.</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При принятии к учету Комиссия по поступлению и выбытию активов относит объект основных средств к одной из следующих групп (п. 5 Приказа 259н): </w:t>
      </w:r>
    </w:p>
    <w:p>
      <w:pPr>
        <w:pStyle w:val="Normal"/>
        <w:numPr>
          <w:ilvl w:val="0"/>
          <w:numId w:val="20"/>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Активы, не генерирующие денежные потоки (Активы нГДП)</w:t>
      </w:r>
    </w:p>
    <w:p>
      <w:pPr>
        <w:pStyle w:val="Normal"/>
        <w:numPr>
          <w:ilvl w:val="0"/>
          <w:numId w:val="20"/>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Активы, генерирующие денежные потоки (Активы ГДП)</w:t>
      </w:r>
    </w:p>
    <w:p>
      <w:pPr>
        <w:pStyle w:val="Normal"/>
        <w:numPr>
          <w:ilvl w:val="0"/>
          <w:numId w:val="20"/>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Единица, генерирующая денежные потоки (Единица ГДП)</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После принятия к учету основные средства могут быть реклассифицированы в иную группу по решению Комиссии по поступлению и выбытию активов. </w:t>
      </w:r>
    </w:p>
    <w:p>
      <w:pPr>
        <w:pStyle w:val="Default"/>
        <w:ind w:firstLine="709"/>
        <w:jc w:val="both"/>
        <w:rPr>
          <w:rFonts w:ascii="Times New Roman" w:hAnsi="Times New Roman" w:cs="Times New Roman"/>
        </w:rPr>
      </w:pPr>
      <w:r>
        <w:rPr>
          <w:rFonts w:cs="Times New Roman" w:ascii="Times New Roman" w:hAnsi="Times New Roman"/>
        </w:rPr>
        <w:t xml:space="preserve">При определении объектов учета по статусу нефинансовых активов, закрепленных за детским садом на праве оперативного управления  руководствоваться постановлением Правительства РФ от 26.07.2010 №538. Организован раздельный учет основных средств, согласно перечня особо ценного движимого имущества, установленного  и утвержденного департаментом образования мэрии города Ярославля №5428 от 03.11.2011г. и Учет основных средств, приобретенных в текущем году, на соответствующих счетах Плана счетов бухгалтерского учета ведется в соответствии с требованиями Общероссийского классификатора основных фондов ОК 013-2014, утвержденного приказом Росстандарта от 12 декабря 2014 г. № 2018-ст. В случае отсутствия необходимого ОКОФ, комиссия по приемке использует старый ОКОФ ОК 013-94.( п.45 Инструкции к Единому плану счетов № 157н). </w:t>
      </w:r>
    </w:p>
    <w:p>
      <w:pPr>
        <w:pStyle w:val="Normal"/>
        <w:spacing w:lineRule="auto" w:line="240" w:before="0" w:after="0"/>
        <w:ind w:firstLine="709"/>
        <w:rPr>
          <w:rFonts w:ascii="Times New Roman" w:hAnsi="Times New Roman"/>
          <w:sz w:val="24"/>
          <w:szCs w:val="24"/>
          <w:lang w:eastAsia="ru-RU"/>
        </w:rPr>
      </w:pPr>
      <w:r>
        <w:rPr>
          <w:rFonts w:ascii="Times New Roman" w:hAnsi="Times New Roman"/>
          <w:sz w:val="24"/>
          <w:szCs w:val="24"/>
          <w:lang w:eastAsia="ru-RU"/>
        </w:rPr>
        <w:t>Инвентарные номера основных средств кодируются в следующем порядке:</w:t>
      </w:r>
    </w:p>
    <w:p>
      <w:pPr>
        <w:pStyle w:val="Normal"/>
        <w:spacing w:lineRule="auto" w:line="240" w:before="0" w:after="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1 разряд-код вида деятельности;</w:t>
      </w:r>
    </w:p>
    <w:p>
      <w:pPr>
        <w:pStyle w:val="Normal"/>
        <w:spacing w:lineRule="auto" w:line="240" w:before="0" w:after="0"/>
        <w:rPr>
          <w:rFonts w:ascii="Times New Roman" w:hAnsi="Times New Roman"/>
          <w:sz w:val="24"/>
          <w:szCs w:val="24"/>
        </w:rPr>
      </w:pPr>
      <w:r>
        <w:rPr>
          <w:rFonts w:ascii="Times New Roman" w:hAnsi="Times New Roman"/>
          <w:sz w:val="24"/>
          <w:szCs w:val="24"/>
        </w:rPr>
        <w:t>2-3 разряд- код аналитического счета плана счетов бухгалтерского учета по учету основных средств;</w:t>
      </w:r>
    </w:p>
    <w:p>
      <w:pPr>
        <w:pStyle w:val="Normal"/>
        <w:spacing w:lineRule="auto" w:line="240" w:before="0" w:after="0"/>
        <w:rPr>
          <w:rFonts w:ascii="Times New Roman" w:hAnsi="Times New Roman"/>
          <w:sz w:val="24"/>
          <w:szCs w:val="24"/>
        </w:rPr>
      </w:pPr>
      <w:r>
        <w:rPr>
          <w:rFonts w:ascii="Times New Roman" w:hAnsi="Times New Roman"/>
          <w:sz w:val="24"/>
          <w:szCs w:val="24"/>
        </w:rPr>
        <w:t>4-7 разряд- порядковый инвентарный номер.</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Инвентарным объектам движимого имущества, стоимостью до 10.000 рублей включительно в целях их аналитического учета присваивается уникальный порядковый номер. </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Документами аналитического учета основных средств являются:</w:t>
      </w:r>
    </w:p>
    <w:p>
      <w:pPr>
        <w:pStyle w:val="Normal"/>
        <w:numPr>
          <w:ilvl w:val="0"/>
          <w:numId w:val="5"/>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Инвентарная карточка учета нефинансовых активов (ф. 0504031)</w:t>
      </w:r>
    </w:p>
    <w:p>
      <w:pPr>
        <w:pStyle w:val="Normal"/>
        <w:numPr>
          <w:ilvl w:val="0"/>
          <w:numId w:val="5"/>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Инвентарная карточка группового учета нефинансовых активов (ф. 0504032)</w:t>
      </w:r>
    </w:p>
    <w:p>
      <w:pPr>
        <w:pStyle w:val="Normal"/>
        <w:numPr>
          <w:ilvl w:val="0"/>
          <w:numId w:val="5"/>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Инвентарный список нефинансовых активов (ф. 0504034)</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Принятие к бюджетному учету объектов основных средств оформляется решением Комиссии по поступлению и выбытию активов – Актом о приеме-передаче объектов нефинансовых активов (ф. 0504101). В случае невозможности получения информации об объекте основных средств у передающей стороны, а также в случае одностороннего принятия к учету, Акт (ф. 0504031) составляется и заполняется только со стороны Учреждения. </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Выдача в пользование основных средств сотрудникам, не являющимся материально-ответственными лицами, оформляется как выдача имущества в личное пользование и отражается на Забалансовом счете 27. Документом аналитического учета по указанным объектам основных средств является Карточка (книга) учета выдачи имущества в пользование (ф. 0504206), которая ведется материально-ответственными лицами, выдающими основные средства сотрудникам в личное пользование. </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Амортизация объекта основных средств начинается с 1 числа месяца, следующего за месяцем принятия его к бухгалтерскому учету.</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Амортизация основных средств прекращается с 1-го числа месяца, следующего за месяцем прекращения признания (выбытия его из бухгалтерского учета) , или с 1-го числа месяца, следующего за месяцем, в котором остаточная стоимость объекта основных средств стала равной нулю.</w:t>
      </w:r>
    </w:p>
    <w:p>
      <w:pPr>
        <w:pStyle w:val="Normal"/>
        <w:spacing w:lineRule="auto" w:line="240" w:before="0" w:after="0"/>
        <w:ind w:firstLine="709"/>
        <w:rPr>
          <w:rFonts w:ascii="Times New Roman" w:hAnsi="Times New Roman"/>
          <w:sz w:val="24"/>
          <w:szCs w:val="24"/>
          <w:u w:val="single"/>
        </w:rPr>
      </w:pPr>
      <w:r>
        <w:rPr>
          <w:rFonts w:ascii="Times New Roman" w:hAnsi="Times New Roman"/>
          <w:sz w:val="24"/>
          <w:szCs w:val="24"/>
        </w:rPr>
        <w:t>По объектам основных средств  амортизация, в целях бюджетного учета, начисляется в следующем порядке:</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 стоимостью свыше100000 рублей амортизация начисляется в соответствии с рассчитанными в установленном порядке нормами амортизации линейным способом;</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 xml:space="preserve">-  стоимостью свыше 10000 но не менее 100000 рублей </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амортизация начисляется в размере 100% балансовой стоимости при выдаче объекта в эксплуатацию;</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  стоимостью до 10000 рублей включительно, за исключением объектов библиотечного фонда, амортизация не начисляется, списывается с балансового учета с одновременным отражением объекта основных средств на забалансовом счете в соответствии с порядком применения Единого плана счетов бухгалтерского учета.</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Амортизация начисляется с рассчитанными в установленном порядке нормами линейным способом в течение срока полезного использования, установленного комиссией при приеме на учет на основе информации, содержащейся в Общероссийском классификаторе основных фондов ОК 013-2014.</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При отсутствии объекта в ОК- на основании рекомендаций, содержащихся в документах производителя (пункт 85 Инструкции к Единому плану счетов № 157н, пункты 36, 37 Стандарта «Основные средства»).</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Затраты по текущему, капитальному  и профилактическому ремонту признаются расходами по подстатье 225 "Работы, услуги по содержанию имущества " КОСГУ. Текущий, капитальный и профилактический ремонт может оформляться подрядным и хозяйственным способом и связан с содержанием (обслуживанием), ремонтом  основных средств, полученных в аренду или безвозмездное пользование, находящихся на праве оперативного управления.</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Проведение работ по ремонту и восстановлению эффективности функционирования коммунальных инженерных систем и коммуникаций, осуществляемых сверх регламентированного условиями поставки коммунальных услуг перечня работ (технологических нужд), отражаемых по подстатье 223 "Коммунальные услуги" КОСГУ.</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Модернизацию, реконструкцию, сооружение основных производить как собственными силами, так и с привлечением сторонних организаций. В случаях улучшения (повышения) первоначально принятых нормативных показателей функционирования объекта нефинансовых активов в результате проведенной достройки, дооборудования, реконструкции или модернизации учреждением пересматривается срок полезного использования по этому объекту. При модернизации, реконструкции основного средства начисление амортизации приостанавливается с 1-го числа месяца, в котором основное средство было передано на модернизацию, а возобновляется с 1-го числа месяца, в котором была закончена модернизация.</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Переоценка стоимости объектов, за исключением активов в драгоценных металлах, по состоянию на начало текущего года путем пересчета их балансовой стоимости и начисленной суммы амортизации. Сроки и порядок переоценки устанавливаются Правительством Российской Федерации.</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Результаты проведенной по состоянию на первое число текущего года переоценки объектов нефинансовых активов подлежат отражению в бюджетном учете обособленно ( пункт 28 Инструкции к Единому плану счетов №157н).</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Учреждение имеет право:</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Принимать к учету по текущей рыночной стоимости нефинансовые активы при безвозмездном получении, при выявлении излишков в ходе инвентаризации, при ликвидации объектов нефинансовых активов, включая активы, не принадлежащие детскому саду на праве оперативного управления.</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Определять текущую рыночную стоимость такого имущества комиссионно, используя информацию о мониторинге цен на дату принятия к учету, или с привлечением специализированных организаций, занимающихся оценкой собственности.</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Для целей бухгалтерского учета  срок полезного использования объектов основных средств и нематериальных активов определять при вводе их в эксплуатацию в соответствии наибольшими сроками полезного использования, установленными для первых девяти амортизационных групп ОКОФ, включаемых в амортизационные группы, утвержденные Постановлением Правительства РФ от 01.01.2002г№1«О классификации основных средств, включаемых в амортизационные группы»,</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Для объектов основных средств, включаемых в десятую амортизационную группу ОКОФ, срок полезного использования рассчитывается, исходя из единых норм амортизационных отчислений на полное восстановление основных  фондов народного хозяйства СССР, утвержденных постановлением Совета Министров СССР от 22октября 1990г.№1072.</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Составные части компьютера (монитор, клавиатура, мышь, системный блок) учитываются как единый инвентарный объект.</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Локально-вычислительная сеть (ЛВС) как отдельный инвентарный объект не учитывается. Отдельные элементы ЛВС, которые соответствуют критериям, установленным пунктом 38 Инструкции к Единому плану счетов № 157н, учитывается как отдельные основные средства. Охранно-пожарная сигнализация( ОПС) как отдельный инвентарный объект не учитывается. Отдельные элементы ОПС, которые соответствуют критериям, установленным пунктом 38 Инструкции к Единому плану счетов №157н, учитываются как отдельные основные средства.</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Выбытие основных средств оформляется типовыми актами на списание постоянно действующей комиссией и утверждаются главным распорядителем, если стоимость объекта составляет100000руб и выше или относится к ОЦИ. Отражение в бухгалтерском учете выбытия объекта основных средств до утверждения в установленном порядке решения о списании (выбытии) объекта основного средства и реализация мероприятий, предусмотренных Актом о списании, не допускается.</w:t>
      </w:r>
      <w:bookmarkStart w:id="21" w:name="sub_20521"/>
      <w:bookmarkEnd w:id="21"/>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В случае отсутствия в техническом паспорте основного средства сведений о наличии драгоценных металлов, но есть основания предполагать, что они там могут содержаться наличие драгоценных металлов определять при списании и разборке (демонтаже) основного средства и его ликвидации с занесением сведения об этом в Инвентарную карточку учета основных средств. </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Основное средство может быть списано по причине морального износа.</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Списание недвижимого и особо ценного имущества проводить в соответствии с Порядком списания муниципального имущества, утвержденным постановление мэра города Ярославля от 07.08.2006г. № 2843 (в редакции постановления мэра от 11.02.2009г. № 310,постановления мэрии от 14.10.2011г. № 2708).</w:t>
      </w:r>
    </w:p>
    <w:p>
      <w:pPr>
        <w:pStyle w:val="Normal"/>
        <w:spacing w:lineRule="auto" w:line="240" w:beforeAutospacing="1" w:afterAutospacing="1"/>
        <w:jc w:val="center"/>
        <w:rPr>
          <w:rFonts w:ascii="Times New Roman" w:hAnsi="Times New Roman"/>
          <w:b/>
          <w:b/>
          <w:sz w:val="24"/>
          <w:szCs w:val="24"/>
        </w:rPr>
      </w:pPr>
      <w:r>
        <w:rPr>
          <w:rFonts w:ascii="Times New Roman" w:hAnsi="Times New Roman"/>
          <w:b/>
          <w:sz w:val="24"/>
          <w:szCs w:val="24"/>
        </w:rPr>
        <w:t>Непроизведенные активы</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К непроизведенным активам относятся объекты нефинансовых активов, не являющиеся продуктами производства, вещное право на которые должно быть закреплено в установленном порядке (земля, недра и пр.) за учреждением, используемые им в процессе своей деятельности.</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 xml:space="preserve">Земельный участок, используемый учреждением на праве постоянного (бессрочного) пользования (в том числе, расположенный под объектами недвижимости), учитывается на соответствующем счете аналитического учета счета </w:t>
      </w:r>
      <w:hyperlink w:anchor="sub_10300">
        <w:r>
          <w:rPr>
            <w:rFonts w:ascii="Times New Roman" w:hAnsi="Times New Roman"/>
            <w:color w:val="auto"/>
            <w:sz w:val="24"/>
            <w:szCs w:val="24"/>
          </w:rPr>
          <w:t>10300</w:t>
        </w:r>
      </w:hyperlink>
      <w:r>
        <w:rPr>
          <w:rFonts w:ascii="Times New Roman" w:hAnsi="Times New Roman"/>
          <w:sz w:val="24"/>
          <w:szCs w:val="24"/>
        </w:rPr>
        <w:t xml:space="preserve"> "Непроизведенные активы" на основании свидетельства, подтверждающего право пользования земельным участком, по кадастровой стоимости . Единицей бухгалтерского учета непроизведенных активов является инвентарный объект.</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В целях организации и ведения аналитического учета каждому инвентарному объекту непроизведенных активов присваивается уникальный инвентарный порядковый номер, который используется исключительно в регистрах бухгалтерского учета.</w:t>
      </w:r>
      <w:bookmarkStart w:id="22" w:name="sub_20712"/>
      <w:bookmarkStart w:id="23" w:name="sub_2081"/>
      <w:bookmarkEnd w:id="22"/>
      <w:bookmarkEnd w:id="23"/>
    </w:p>
    <w:p>
      <w:pPr>
        <w:pStyle w:val="Normal"/>
        <w:keepNext w:val="true"/>
        <w:numPr>
          <w:ilvl w:val="0"/>
          <w:numId w:val="0"/>
        </w:numPr>
        <w:spacing w:lineRule="auto" w:line="240" w:beforeAutospacing="1" w:afterAutospacing="1"/>
        <w:ind w:left="0" w:hanging="0"/>
        <w:jc w:val="center"/>
        <w:outlineLvl w:val="0"/>
        <w:rPr>
          <w:rFonts w:ascii="Times New Roman" w:hAnsi="Times New Roman"/>
          <w:b/>
          <w:b/>
          <w:bCs/>
          <w:kern w:val="2"/>
          <w:sz w:val="24"/>
          <w:szCs w:val="24"/>
          <w:lang w:eastAsia="ru-RU"/>
        </w:rPr>
      </w:pPr>
      <w:r>
        <w:rPr>
          <w:rFonts w:ascii="Times New Roman" w:hAnsi="Times New Roman"/>
          <w:b/>
          <w:bCs/>
          <w:kern w:val="2"/>
          <w:sz w:val="24"/>
          <w:szCs w:val="24"/>
          <w:lang w:eastAsia="ru-RU"/>
        </w:rPr>
        <w:t>Материально-производственные запасы</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 xml:space="preserve">К материальным запасам относятся предметы, используемые в деятельности учреждения в течение периода, не превышающего 12 месяцев, независимо от их стоимости (п. 99 Инструкции 157н). Окончательное решение о сроке полезного использования объекта имущества при его принятии к учету принимает Комиссия по поступлению и выбытию активов.  </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Кроме этого к материальным запасам Учреждение относит:</w:t>
      </w:r>
    </w:p>
    <w:p>
      <w:pPr>
        <w:pStyle w:val="Normal"/>
        <w:numPr>
          <w:ilvl w:val="0"/>
          <w:numId w:val="3"/>
        </w:numPr>
        <w:spacing w:lineRule="auto" w:line="240" w:before="0" w:after="0"/>
        <w:ind w:left="1260" w:hanging="0"/>
        <w:jc w:val="both"/>
        <w:rPr>
          <w:rFonts w:ascii="Times New Roman" w:hAnsi="Times New Roman"/>
          <w:sz w:val="24"/>
          <w:szCs w:val="24"/>
          <w:lang w:eastAsia="ru-RU"/>
        </w:rPr>
      </w:pPr>
      <w:r>
        <w:rPr>
          <w:rFonts w:ascii="Times New Roman" w:hAnsi="Times New Roman"/>
          <w:sz w:val="24"/>
          <w:szCs w:val="24"/>
          <w:lang w:eastAsia="ru-RU"/>
        </w:rPr>
        <w:t>канцтовары и канцелярские принадлежности, включая папки для бумаг, дыроколы, степлеры.</w:t>
      </w:r>
    </w:p>
    <w:p>
      <w:pPr>
        <w:pStyle w:val="Normal"/>
        <w:numPr>
          <w:ilvl w:val="0"/>
          <w:numId w:val="3"/>
        </w:numPr>
        <w:spacing w:lineRule="auto" w:line="240" w:before="0" w:after="0"/>
        <w:ind w:left="1260" w:hanging="0"/>
        <w:jc w:val="both"/>
        <w:rPr>
          <w:rFonts w:ascii="Times New Roman" w:hAnsi="Times New Roman"/>
          <w:sz w:val="24"/>
          <w:szCs w:val="24"/>
          <w:lang w:eastAsia="ru-RU"/>
        </w:rPr>
      </w:pPr>
      <w:r>
        <w:rPr>
          <w:rFonts w:ascii="Times New Roman" w:hAnsi="Times New Roman"/>
          <w:sz w:val="24"/>
          <w:szCs w:val="24"/>
          <w:lang w:eastAsia="ru-RU"/>
        </w:rPr>
        <w:t xml:space="preserve">Дискеты, </w:t>
      </w:r>
      <w:r>
        <w:rPr>
          <w:rFonts w:ascii="Times New Roman" w:hAnsi="Times New Roman"/>
          <w:sz w:val="24"/>
          <w:szCs w:val="24"/>
          <w:lang w:val="en-US" w:eastAsia="ru-RU"/>
        </w:rPr>
        <w:t>CD</w:t>
      </w:r>
      <w:r>
        <w:rPr>
          <w:rFonts w:ascii="Times New Roman" w:hAnsi="Times New Roman"/>
          <w:sz w:val="24"/>
          <w:szCs w:val="24"/>
          <w:lang w:eastAsia="ru-RU"/>
        </w:rPr>
        <w:t>-диски, ФЛЭШ-накопители и карты памяти и иные носители информации</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 xml:space="preserve">Единицы аналитического учета материальных запасов учреждением определяются из документов поставщика. С целью аналитического учета отдельных категорий материальных запасов устанавливаются следующие учетные единицы (п. 8 СГС «Запасы»): </w:t>
      </w:r>
    </w:p>
    <w:p>
      <w:pPr>
        <w:pStyle w:val="Normal"/>
        <w:numPr>
          <w:ilvl w:val="0"/>
          <w:numId w:val="6"/>
        </w:numPr>
        <w:spacing w:lineRule="auto" w:line="240" w:before="0" w:after="0"/>
        <w:ind w:left="1260" w:hanging="0"/>
        <w:jc w:val="both"/>
        <w:rPr>
          <w:rFonts w:ascii="Times New Roman" w:hAnsi="Times New Roman"/>
          <w:sz w:val="24"/>
          <w:szCs w:val="24"/>
          <w:lang w:eastAsia="ru-RU"/>
        </w:rPr>
      </w:pPr>
      <w:r>
        <w:rPr>
          <w:rFonts w:ascii="Times New Roman" w:hAnsi="Times New Roman"/>
          <w:sz w:val="24"/>
          <w:szCs w:val="24"/>
          <w:lang w:eastAsia="ru-RU"/>
        </w:rPr>
        <w:t>для спецодежды - комплект (спецовка, штаны, ботинки, защитные перчатки, куртка);</w:t>
      </w:r>
    </w:p>
    <w:p>
      <w:pPr>
        <w:pStyle w:val="Normal"/>
        <w:numPr>
          <w:ilvl w:val="0"/>
          <w:numId w:val="6"/>
        </w:numPr>
        <w:spacing w:lineRule="auto" w:line="240" w:before="0" w:after="0"/>
        <w:ind w:left="1260" w:hanging="0"/>
        <w:jc w:val="both"/>
        <w:rPr>
          <w:rFonts w:ascii="Times New Roman" w:hAnsi="Times New Roman"/>
          <w:sz w:val="24"/>
          <w:szCs w:val="24"/>
          <w:lang w:eastAsia="ru-RU"/>
        </w:rPr>
      </w:pPr>
      <w:r>
        <w:rPr>
          <w:rFonts w:ascii="Times New Roman" w:hAnsi="Times New Roman"/>
          <w:sz w:val="24"/>
          <w:szCs w:val="24"/>
          <w:lang w:eastAsia="ru-RU"/>
        </w:rPr>
        <w:t>для медикаментов – одна упаковка (одна ампула);</w:t>
      </w:r>
    </w:p>
    <w:p>
      <w:pPr>
        <w:pStyle w:val="Normal"/>
        <w:numPr>
          <w:ilvl w:val="0"/>
          <w:numId w:val="6"/>
        </w:numPr>
        <w:spacing w:lineRule="auto" w:line="240" w:before="0" w:after="0"/>
        <w:ind w:left="1260" w:hanging="0"/>
        <w:jc w:val="both"/>
        <w:rPr>
          <w:rFonts w:ascii="Times New Roman" w:hAnsi="Times New Roman"/>
          <w:sz w:val="24"/>
          <w:szCs w:val="24"/>
          <w:lang w:eastAsia="ru-RU"/>
        </w:rPr>
      </w:pPr>
      <w:r>
        <w:rPr>
          <w:rFonts w:ascii="Times New Roman" w:hAnsi="Times New Roman"/>
          <w:sz w:val="24"/>
          <w:szCs w:val="24"/>
          <w:lang w:eastAsia="ru-RU"/>
        </w:rPr>
        <w:t>для продуктов питания – один килограмм.</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 xml:space="preserve">На счете 0 10501 341 учреждение учитывает медикаменты, а также любые иные материалы, применяемые в медицинских целях. При этом медицинские материалы, не применяемые в медицинских целях, учреждение учитывает на счете 0 10506 346 (Письма Минфина России от 01.08.2019 N 02-07-07/58075, от 03.09.2019 г. N 02-08-05/67819). </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На счете 0 10502 342 учреждение учитывает продукты питания, используемые для изготовления готовых блюд при оказании услуги общественного питания. Иные продукты, не используемые для оказания услуги общественного питания, в том числе, бутилированную питьевую воду, учреждение учитывает на счете 0 10536 346 (Письма Минфина России от 01.08.2019 N 02-07-07/58075, от  от 30.05.2019 г. N 02-08-10/39551)</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ab/>
        <w:t>Материальные запасы принимаются к учету при приобретении - на основании документов поставщика (Товарные накладные).</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ab/>
        <w:t xml:space="preserve">При наличии количественного и (или) качественного расхождения, а также несоответствия ассортимента принимаемых материальных ценностей сопроводительным документам поставщика при покупке, Комиссия учреждения по поступлению и выбытию активов составляет Акт приемки материалов (ф. 0504220). Кроме этого Акт приемки материалов (ф. 0504220) применяется Учреждением в случае бездокументального принятия к учету материальных запасов. </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Оценка материальных запасов, приобретенных за плату, осуществляется по фактической стоимости приобретения с учетом расходов, непосредственно связанных с их приобретением. Фактическая стоимость материальных запасов, приобретаемых учреждением для их отражения в учете, формируется на аналитических счетах 10500 000 «Материальные запасы».</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 xml:space="preserve">Фактическая стоимость материальных запасов, создаваемых самим учреждением, а также при наличии дополнительных расходов при приобретении формируется на счете 10604 000 «Вложения в материальные запасы» и включает </w:t>
      </w:r>
      <w:r>
        <w:rPr>
          <w:rFonts w:ascii="Times New Roman" w:hAnsi="Times New Roman"/>
          <w:sz w:val="24"/>
          <w:szCs w:val="24"/>
        </w:rPr>
        <w:t>вложения в их   приобретение</w:t>
      </w:r>
      <w:r>
        <w:rPr>
          <w:rFonts w:ascii="Times New Roman" w:hAnsi="Times New Roman"/>
          <w:sz w:val="24"/>
          <w:szCs w:val="24"/>
          <w:lang w:eastAsia="ru-RU"/>
        </w:rPr>
        <w:t xml:space="preserve">. </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Сформированная на данном счете  фактическая стоимость материальных запасов на   основании внутренней  накладной на оприходование   такого имущества на склад учреждения списывается  на соответствующие счета учета материальных  запасов.</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При списании материалов в производство и изготовления нового изделия применяется счет 106.3И.</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xml:space="preserve">           </w:t>
      </w:r>
      <w:r>
        <w:rPr>
          <w:rFonts w:ascii="Times New Roman" w:hAnsi="Times New Roman"/>
          <w:sz w:val="24"/>
          <w:szCs w:val="24"/>
          <w:lang w:eastAsia="ru-RU"/>
        </w:rPr>
        <w:t>Материально ответственные лица ведут учет материальных запасов отдельных категорий материальных запасов в Карточках учета материальных ценностей (ф. 0504043) по наименованиям и количеству.</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Внутреннее перемещение материальных запасов внутри организации между структурными подразделениями или материально ответственными лицами оформляется Требованием-накладной (ф. 0504204).</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Списание (отпуск) материальных запасов производится по средней фактической стоимости.</w:t>
      </w:r>
    </w:p>
    <w:p>
      <w:pPr>
        <w:pStyle w:val="Normal"/>
        <w:widowControl w:val="false"/>
        <w:spacing w:lineRule="auto" w:line="240" w:before="0" w:after="0"/>
        <w:ind w:firstLine="709"/>
        <w:jc w:val="both"/>
        <w:rPr>
          <w:rFonts w:ascii="Times New Roman" w:hAnsi="Times New Roman"/>
          <w:sz w:val="24"/>
          <w:szCs w:val="24"/>
        </w:rPr>
      </w:pPr>
      <w:r>
        <w:rPr>
          <w:rFonts w:ascii="Times New Roman" w:hAnsi="Times New Roman"/>
          <w:sz w:val="24"/>
          <w:szCs w:val="24"/>
          <w:lang w:eastAsia="ru-RU"/>
        </w:rPr>
        <w:t>Списание и выдача материалов производится в следующем порядке:</w:t>
      </w:r>
      <w:r>
        <w:rPr>
          <w:rFonts w:ascii="Times New Roman" w:hAnsi="Times New Roman"/>
          <w:sz w:val="24"/>
          <w:szCs w:val="24"/>
        </w:rPr>
        <w:t xml:space="preserve"> </w:t>
      </w:r>
    </w:p>
    <w:p>
      <w:pPr>
        <w:pStyle w:val="Normal"/>
        <w:numPr>
          <w:ilvl w:val="0"/>
          <w:numId w:val="4"/>
        </w:numPr>
        <w:spacing w:lineRule="auto" w:line="240" w:before="0" w:after="0"/>
        <w:ind w:left="0" w:firstLine="709"/>
        <w:jc w:val="both"/>
        <w:rPr>
          <w:rFonts w:ascii="Times New Roman" w:hAnsi="Times New Roman"/>
          <w:sz w:val="24"/>
          <w:szCs w:val="24"/>
          <w:lang w:eastAsia="ru-RU"/>
        </w:rPr>
      </w:pPr>
      <w:r>
        <w:rPr>
          <w:rFonts w:ascii="Times New Roman" w:hAnsi="Times New Roman"/>
          <w:sz w:val="24"/>
          <w:szCs w:val="24"/>
        </w:rPr>
        <w:t xml:space="preserve"> </w:t>
      </w:r>
      <w:r>
        <w:rPr>
          <w:rFonts w:ascii="Times New Roman" w:hAnsi="Times New Roman"/>
          <w:sz w:val="24"/>
          <w:szCs w:val="24"/>
        </w:rPr>
        <w:t xml:space="preserve">Списание канцелярских принадлежностей, Хозяйственных товаров для текущих нужд производится по Ведомости выдачи материальных ценностей на нужды учреждения </w:t>
      </w:r>
      <w:hyperlink r:id="rId2">
        <w:r>
          <w:rPr>
            <w:rFonts w:ascii="Times New Roman" w:hAnsi="Times New Roman"/>
            <w:sz w:val="24"/>
            <w:szCs w:val="24"/>
          </w:rPr>
          <w:t>(ф. 0504210)</w:t>
        </w:r>
      </w:hyperlink>
      <w:r>
        <w:rPr>
          <w:rFonts w:ascii="Times New Roman" w:hAnsi="Times New Roman"/>
          <w:sz w:val="24"/>
          <w:szCs w:val="24"/>
        </w:rPr>
        <w:t>.</w:t>
      </w:r>
    </w:p>
    <w:p>
      <w:pPr>
        <w:pStyle w:val="Normal"/>
        <w:numPr>
          <w:ilvl w:val="0"/>
          <w:numId w:val="4"/>
        </w:numPr>
        <w:spacing w:lineRule="auto" w:line="240" w:before="0" w:after="0"/>
        <w:ind w:left="0" w:firstLine="709"/>
        <w:jc w:val="both"/>
        <w:rPr>
          <w:rFonts w:ascii="Times New Roman" w:hAnsi="Times New Roman"/>
          <w:sz w:val="24"/>
          <w:szCs w:val="24"/>
          <w:lang w:eastAsia="ru-RU"/>
        </w:rPr>
      </w:pPr>
      <w:r>
        <w:rPr>
          <w:rFonts w:ascii="Times New Roman" w:hAnsi="Times New Roman"/>
          <w:sz w:val="24"/>
          <w:szCs w:val="24"/>
        </w:rPr>
        <w:t xml:space="preserve">Материальные запасы, выданные на нужды учреждения, списываются с учета на основании утвержденных Актов о списании материальных запасов </w:t>
      </w:r>
      <w:hyperlink r:id="rId3">
        <w:r>
          <w:rPr>
            <w:rFonts w:ascii="Times New Roman" w:hAnsi="Times New Roman"/>
            <w:sz w:val="24"/>
            <w:szCs w:val="24"/>
          </w:rPr>
          <w:t>(ф. 0504230)</w:t>
        </w:r>
      </w:hyperlink>
    </w:p>
    <w:p>
      <w:pPr>
        <w:pStyle w:val="Normal"/>
        <w:numPr>
          <w:ilvl w:val="0"/>
          <w:numId w:val="4"/>
        </w:numPr>
        <w:spacing w:lineRule="auto" w:line="240" w:before="0" w:after="0"/>
        <w:ind w:left="0" w:firstLine="709"/>
        <w:jc w:val="both"/>
        <w:rPr>
          <w:rFonts w:ascii="Times New Roman" w:hAnsi="Times New Roman"/>
          <w:sz w:val="24"/>
          <w:szCs w:val="24"/>
          <w:lang w:eastAsia="ru-RU"/>
        </w:rPr>
      </w:pPr>
      <w:r>
        <w:rPr>
          <w:rFonts w:ascii="Times New Roman" w:hAnsi="Times New Roman"/>
          <w:sz w:val="24"/>
          <w:szCs w:val="24"/>
          <w:lang w:eastAsia="ru-RU"/>
        </w:rPr>
        <w:t>Выдача спецодежды в личное пользование оформляется на основании Ведомости выдачи материальных ценностей на нужды учреждения (ф. 0504210) с одновременным отражением на забалансовом счете 27 «Материальные ценности, выданные в личное пользование работникам (сотрудникам)»</w:t>
      </w:r>
    </w:p>
    <w:p>
      <w:pPr>
        <w:pStyle w:val="Normal"/>
        <w:numPr>
          <w:ilvl w:val="0"/>
          <w:numId w:val="4"/>
        </w:numPr>
        <w:spacing w:lineRule="auto" w:line="240" w:before="0" w:after="0"/>
        <w:ind w:left="0" w:firstLine="709"/>
        <w:jc w:val="both"/>
        <w:rPr>
          <w:rFonts w:ascii="Times New Roman" w:hAnsi="Times New Roman"/>
          <w:sz w:val="24"/>
          <w:szCs w:val="24"/>
          <w:lang w:eastAsia="ru-RU"/>
        </w:rPr>
      </w:pPr>
      <w:r>
        <w:rPr>
          <w:rFonts w:ascii="Times New Roman" w:hAnsi="Times New Roman"/>
          <w:sz w:val="24"/>
          <w:szCs w:val="24"/>
        </w:rPr>
        <w:t>Списание строительных материалов производится на основании актов, отчетов</w:t>
      </w:r>
      <w:r>
        <w:rPr>
          <w:rFonts w:ascii="Times New Roman" w:hAnsi="Times New Roman"/>
          <w:sz w:val="24"/>
          <w:szCs w:val="24"/>
          <w:lang w:eastAsia="ru-RU"/>
        </w:rPr>
        <w:t xml:space="preserve"> </w:t>
      </w:r>
    </w:p>
    <w:p>
      <w:pPr>
        <w:pStyle w:val="Normal"/>
        <w:numPr>
          <w:ilvl w:val="0"/>
          <w:numId w:val="4"/>
        </w:numPr>
        <w:spacing w:lineRule="auto" w:line="240" w:before="0" w:after="0"/>
        <w:ind w:left="0" w:firstLine="709"/>
        <w:jc w:val="both"/>
        <w:rPr>
          <w:rFonts w:ascii="Times New Roman" w:hAnsi="Times New Roman"/>
          <w:sz w:val="24"/>
          <w:szCs w:val="24"/>
          <w:lang w:eastAsia="ru-RU"/>
        </w:rPr>
      </w:pPr>
      <w:r>
        <w:rPr>
          <w:rFonts w:ascii="Times New Roman" w:hAnsi="Times New Roman"/>
          <w:sz w:val="24"/>
          <w:szCs w:val="24"/>
          <w:lang w:eastAsia="ru-RU"/>
        </w:rPr>
        <w:t>Материальные запасы, у которых истек срок годности, списываются с учета на основании Акта о списании материальных запасов (ф. 0504230) по результатам проведенной инвентаризации</w:t>
      </w:r>
    </w:p>
    <w:p>
      <w:pPr>
        <w:pStyle w:val="Normal"/>
        <w:numPr>
          <w:ilvl w:val="0"/>
          <w:numId w:val="4"/>
        </w:numPr>
        <w:spacing w:lineRule="auto" w:line="240" w:before="0" w:after="0"/>
        <w:ind w:left="0" w:firstLine="709"/>
        <w:jc w:val="both"/>
        <w:rPr>
          <w:rFonts w:ascii="Times New Roman" w:hAnsi="Times New Roman"/>
          <w:sz w:val="24"/>
          <w:szCs w:val="24"/>
          <w:lang w:eastAsia="ru-RU"/>
        </w:rPr>
      </w:pPr>
      <w:r>
        <w:rPr>
          <w:rFonts w:ascii="Times New Roman" w:hAnsi="Times New Roman"/>
          <w:sz w:val="24"/>
          <w:szCs w:val="24"/>
          <w:lang w:eastAsia="ru-RU"/>
        </w:rPr>
        <w:t>В иных случаях, не определенных настоящим пунктом Учетной политики для списания материальных запасов используется Акт о списании материальных запасов (ф. 0504230)</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r>
    </w:p>
    <w:p>
      <w:pPr>
        <w:pStyle w:val="Normal"/>
        <w:widowControl w:val="false"/>
        <w:spacing w:lineRule="auto" w:line="240" w:before="0" w:after="0"/>
        <w:ind w:firstLine="709"/>
        <w:jc w:val="center"/>
        <w:rPr>
          <w:rFonts w:ascii="Times New Roman" w:hAnsi="Times New Roman"/>
          <w:b/>
          <w:b/>
          <w:iCs/>
          <w:sz w:val="24"/>
          <w:szCs w:val="24"/>
        </w:rPr>
      </w:pPr>
      <w:r>
        <w:rPr>
          <w:rFonts w:ascii="Times New Roman" w:hAnsi="Times New Roman"/>
          <w:b/>
          <w:iCs/>
          <w:sz w:val="24"/>
          <w:szCs w:val="24"/>
        </w:rPr>
        <w:t>Затраты на изготовление готовой продукции, выполнение работ, оказание услуг.</w:t>
      </w:r>
    </w:p>
    <w:p>
      <w:pPr>
        <w:pStyle w:val="Normal"/>
        <w:widowControl w:val="false"/>
        <w:spacing w:lineRule="auto" w:line="240" w:before="0" w:after="0"/>
        <w:ind w:firstLine="709"/>
        <w:jc w:val="both"/>
        <w:rPr>
          <w:rFonts w:ascii="Times New Roman" w:hAnsi="Times New Roman"/>
          <w:b/>
          <w:b/>
          <w:sz w:val="24"/>
          <w:szCs w:val="24"/>
        </w:rPr>
      </w:pPr>
      <w:r>
        <w:rPr>
          <w:rFonts w:ascii="Times New Roman" w:hAnsi="Times New Roman"/>
          <w:b/>
          <w:sz w:val="24"/>
          <w:szCs w:val="24"/>
        </w:rPr>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Платные услуги  и услуги по выполнению муниципального задания оказываются в соответствии с  уставом учреждения, на основании договоров с юридическими и физическими лицами.</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Для формирования себестоимости  услуг используется счет 109 00 «Затраты на изготовление готовой продукции, выполнение работ, услуг», к которому открываются следующие счета:</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-10960000 «Себестоимость готовой продукции, выполнение работ, услуг»</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- 10970000 «Накладные расходы производства готовой продукции, выполнение работ, услуг»</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- 1098000 «Общехозяйственные расходы»</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 xml:space="preserve">Учет расходов по формированию себестоимости ведется раздельно по видам услуг в рамках выполнения государственного задания: </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-реализация основных общеобразовательных программ дошкольного образования;</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 xml:space="preserve">-присмотр и уход; </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Затраты учреждения при изготовлении готовой продукции, выполнении работ, оказании услуг делятся на прямые и накладные.</w:t>
      </w:r>
      <w:bookmarkStart w:id="24" w:name="bssPhr1072"/>
      <w:bookmarkStart w:id="25" w:name="ZAP2NQC3MT"/>
      <w:bookmarkStart w:id="26" w:name="ZAP2IBQ3LC"/>
      <w:bookmarkEnd w:id="24"/>
      <w:bookmarkEnd w:id="25"/>
      <w:bookmarkEnd w:id="26"/>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При изготовлении одного (единственного) вида готовой продукции, работ, услуг все затраты, непосредственно связанные с производством готовой продукции, выполнением работ, услуг относятся к прямым затратам.</w:t>
      </w:r>
      <w:bookmarkStart w:id="27" w:name="bssPhr1073"/>
      <w:bookmarkStart w:id="28" w:name="ZAP276G3FL"/>
      <w:bookmarkStart w:id="29" w:name="ZAP21NU3E4"/>
      <w:bookmarkEnd w:id="27"/>
      <w:bookmarkEnd w:id="28"/>
      <w:bookmarkEnd w:id="29"/>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Прямые затраты непосредственно относятся на себестоимость изготовления единицы готовой продукции, выполнения работы, оказания услуги.</w:t>
      </w:r>
      <w:bookmarkStart w:id="30" w:name="bssPhr1074"/>
      <w:bookmarkStart w:id="31" w:name="ZAP2D0C3FN"/>
      <w:bookmarkStart w:id="32" w:name="ZAP27HQ3E6"/>
      <w:bookmarkEnd w:id="30"/>
      <w:bookmarkEnd w:id="31"/>
      <w:bookmarkEnd w:id="32"/>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Затраты на оказание услуг (изготовление готовой продукции) делятся на прямые и накладные.</w:t>
      </w:r>
    </w:p>
    <w:p>
      <w:pPr>
        <w:pStyle w:val="Default"/>
        <w:ind w:firstLine="709"/>
        <w:rPr>
          <w:rFonts w:ascii="Times New Roman" w:hAnsi="Times New Roman" w:cs="Times New Roman"/>
        </w:rPr>
      </w:pPr>
      <w:r>
        <w:rPr>
          <w:rFonts w:cs="Times New Roman" w:ascii="Times New Roman" w:hAnsi="Times New Roman"/>
        </w:rPr>
        <w:t>В составе прямых затрат при формировании себестоимости оказания услуги, изготовления единицы готовой продукции учитываются расходы, непосредственно связанные с ее оказанием .</w:t>
      </w:r>
    </w:p>
    <w:p>
      <w:pPr>
        <w:pStyle w:val="Default"/>
        <w:ind w:firstLine="709"/>
        <w:rPr>
          <w:rFonts w:ascii="Times New Roman" w:hAnsi="Times New Roman" w:cs="Times New Roman"/>
        </w:rPr>
      </w:pPr>
      <w:r>
        <w:rPr>
          <w:rFonts w:cs="Times New Roman" w:ascii="Times New Roman" w:hAnsi="Times New Roman"/>
        </w:rPr>
        <w:t xml:space="preserve">В том числе: </w:t>
      </w:r>
    </w:p>
    <w:p>
      <w:pPr>
        <w:pStyle w:val="Default"/>
        <w:ind w:firstLine="709"/>
        <w:rPr>
          <w:rFonts w:ascii="Times New Roman" w:hAnsi="Times New Roman" w:cs="Times New Roman"/>
        </w:rPr>
      </w:pPr>
      <w:r>
        <w:rPr>
          <w:rFonts w:cs="Times New Roman" w:ascii="Times New Roman" w:hAnsi="Times New Roman"/>
        </w:rPr>
        <w:t xml:space="preserve">-затраты на оплату труда и начисления на выплаты по оплате труда сотрудников учреждения, непосредственно участвующих в оказании услуги (педработники, младшие воспитатели, старшая медсестра);  </w:t>
      </w:r>
    </w:p>
    <w:p>
      <w:pPr>
        <w:pStyle w:val="Default"/>
        <w:ind w:firstLine="709"/>
        <w:rPr>
          <w:rFonts w:ascii="Times New Roman" w:hAnsi="Times New Roman" w:cs="Times New Roman"/>
        </w:rPr>
      </w:pPr>
      <w:r>
        <w:rPr>
          <w:rFonts w:cs="Times New Roman" w:ascii="Times New Roman" w:hAnsi="Times New Roman"/>
        </w:rPr>
        <w:t xml:space="preserve">-списанные материальные запасы, израсходованные непосредственно на оказание услуги; </w:t>
      </w:r>
    </w:p>
    <w:p>
      <w:pPr>
        <w:pStyle w:val="Default"/>
        <w:ind w:firstLine="709"/>
        <w:rPr>
          <w:rFonts w:ascii="Times New Roman" w:hAnsi="Times New Roman" w:cs="Times New Roman"/>
        </w:rPr>
      </w:pPr>
      <w:r>
        <w:rPr>
          <w:rFonts w:cs="Times New Roman" w:ascii="Times New Roman" w:hAnsi="Times New Roman"/>
        </w:rPr>
        <w:t xml:space="preserve">-переданные в эксплуатацию объекты основных средств стоимостью до10000 руб. включительно, которые используются при оказании услуги; </w:t>
      </w:r>
    </w:p>
    <w:p>
      <w:pPr>
        <w:pStyle w:val="Default"/>
        <w:ind w:firstLine="709"/>
        <w:rPr>
          <w:rFonts w:ascii="Times New Roman" w:hAnsi="Times New Roman" w:cs="Times New Roman"/>
        </w:rPr>
      </w:pPr>
      <w:r>
        <w:rPr>
          <w:rFonts w:cs="Times New Roman" w:ascii="Times New Roman" w:hAnsi="Times New Roman"/>
        </w:rPr>
        <w:t xml:space="preserve">В составе накладных расходов при формировании себестоимости услуг (готовой продукции) учитываются расходы: </w:t>
      </w:r>
    </w:p>
    <w:p>
      <w:pPr>
        <w:pStyle w:val="Default"/>
        <w:ind w:firstLine="709"/>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 xml:space="preserve">расходы на земельный налог; </w:t>
      </w:r>
    </w:p>
    <w:p>
      <w:pPr>
        <w:pStyle w:val="Default"/>
        <w:ind w:firstLine="709"/>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 xml:space="preserve">расходы на налог на имущество; </w:t>
      </w:r>
    </w:p>
    <w:p>
      <w:pPr>
        <w:pStyle w:val="Default"/>
        <w:ind w:firstLine="709"/>
        <w:rPr>
          <w:rFonts w:ascii="Times New Roman" w:hAnsi="Times New Roman" w:cs="Times New Roman"/>
        </w:rPr>
      </w:pPr>
      <w:r>
        <w:rPr>
          <w:rFonts w:cs="Times New Roman" w:ascii="Times New Roman" w:hAnsi="Times New Roman"/>
        </w:rPr>
        <w:t>-иные платежи (экология и др.);</w:t>
      </w:r>
    </w:p>
    <w:p>
      <w:pPr>
        <w:pStyle w:val="Default"/>
        <w:ind w:firstLine="709"/>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В составе общехозяйственных расходов учитываются расходы, отнесенные на присмотр и уход за детьми:</w:t>
      </w:r>
    </w:p>
    <w:p>
      <w:pPr>
        <w:pStyle w:val="Default"/>
        <w:ind w:firstLine="709"/>
        <w:rPr>
          <w:rFonts w:ascii="Times New Roman" w:hAnsi="Times New Roman" w:cs="Times New Roman"/>
        </w:rPr>
      </w:pPr>
      <w:r>
        <w:rPr>
          <w:rFonts w:cs="Times New Roman" w:ascii="Times New Roman" w:hAnsi="Times New Roman"/>
        </w:rPr>
        <w:t xml:space="preserve">-расходы на оплату труда и начисления на выплаты по оплате труда сотрудников учреждения, не принимающих непосредственного участия при оказании услуги: </w:t>
      </w:r>
    </w:p>
    <w:p>
      <w:pPr>
        <w:pStyle w:val="Default"/>
        <w:ind w:firstLine="709"/>
        <w:rPr>
          <w:rFonts w:ascii="Times New Roman" w:hAnsi="Times New Roman" w:cs="Times New Roman"/>
        </w:rPr>
      </w:pPr>
      <w:r>
        <w:rPr>
          <w:rFonts w:cs="Times New Roman" w:ascii="Times New Roman" w:hAnsi="Times New Roman"/>
        </w:rPr>
        <w:t xml:space="preserve">административно-управленческого, административно-хозяйственного и прочего обслуживающего персонала; </w:t>
      </w:r>
    </w:p>
    <w:p>
      <w:pPr>
        <w:pStyle w:val="Default"/>
        <w:ind w:firstLine="709"/>
        <w:rPr>
          <w:rFonts w:ascii="Times New Roman" w:hAnsi="Times New Roman" w:cs="Times New Roman"/>
        </w:rPr>
      </w:pPr>
      <w:r>
        <w:rPr>
          <w:rFonts w:cs="Times New Roman" w:ascii="Times New Roman" w:hAnsi="Times New Roman"/>
        </w:rPr>
        <w:t xml:space="preserve">- материальные запасы, израсходованные на общехозяйственные нужды учреждения  на цели, не связанные напрямую с оказанием услуг ; </w:t>
      </w:r>
    </w:p>
    <w:p>
      <w:pPr>
        <w:pStyle w:val="Default"/>
        <w:ind w:firstLine="709"/>
        <w:rPr>
          <w:rFonts w:ascii="Times New Roman" w:hAnsi="Times New Roman" w:cs="Times New Roman"/>
        </w:rPr>
      </w:pPr>
      <w:r>
        <w:rPr>
          <w:rFonts w:cs="Times New Roman" w:ascii="Times New Roman" w:hAnsi="Times New Roman"/>
        </w:rPr>
        <w:t xml:space="preserve">- переданные в эксплуатацию объекты основных средств стоимостью до 10000 руб. включительно на цели, не связанные напрямую с оказанием услуг ; </w:t>
      </w:r>
    </w:p>
    <w:p>
      <w:pPr>
        <w:pStyle w:val="Default"/>
        <w:ind w:firstLine="709"/>
        <w:rPr>
          <w:rFonts w:ascii="Times New Roman" w:hAnsi="Times New Roman" w:cs="Times New Roman"/>
        </w:rPr>
      </w:pPr>
      <w:r>
        <w:rPr>
          <w:rFonts w:cs="Times New Roman" w:ascii="Times New Roman" w:hAnsi="Times New Roman"/>
        </w:rPr>
        <w:t xml:space="preserve">-коммунальные расходы; </w:t>
      </w:r>
    </w:p>
    <w:p>
      <w:pPr>
        <w:pStyle w:val="Default"/>
        <w:ind w:firstLine="709"/>
        <w:rPr>
          <w:rFonts w:ascii="Times New Roman" w:hAnsi="Times New Roman" w:cs="Times New Roman"/>
        </w:rPr>
      </w:pPr>
      <w:r>
        <w:rPr>
          <w:rFonts w:cs="Times New Roman" w:ascii="Times New Roman" w:hAnsi="Times New Roman"/>
        </w:rPr>
        <w:t xml:space="preserve">- расходы на содержание зданий, сооружений и инвентаря общехозяйственного назначения; </w:t>
      </w:r>
    </w:p>
    <w:p>
      <w:pPr>
        <w:pStyle w:val="Default"/>
        <w:ind w:firstLine="709"/>
        <w:rPr>
          <w:rFonts w:ascii="Times New Roman" w:hAnsi="Times New Roman" w:cs="Times New Roman"/>
        </w:rPr>
      </w:pPr>
      <w:r>
        <w:rPr>
          <w:rFonts w:cs="Times New Roman" w:ascii="Times New Roman" w:hAnsi="Times New Roman"/>
        </w:rPr>
        <w:t xml:space="preserve">- на охрану учреждения; </w:t>
      </w:r>
    </w:p>
    <w:p>
      <w:pPr>
        <w:pStyle w:val="Default"/>
        <w:rPr>
          <w:rFonts w:ascii="Times New Roman" w:hAnsi="Times New Roman" w:cs="Times New Roman"/>
        </w:rPr>
      </w:pPr>
      <w:r>
        <w:rPr>
          <w:rFonts w:cs="Times New Roman" w:ascii="Times New Roman" w:hAnsi="Times New Roman"/>
        </w:rPr>
        <w:t xml:space="preserve">- прочие работы и услуги на общехозяйственные нужды. </w:t>
      </w:r>
    </w:p>
    <w:p>
      <w:pPr>
        <w:pStyle w:val="Default"/>
        <w:ind w:firstLine="709"/>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 xml:space="preserve">Расходами, которые не включаются в себестоимость и сразу списываются на финансовый результат (счет 0.401.20.000), признаются: </w:t>
      </w:r>
    </w:p>
    <w:p>
      <w:pPr>
        <w:pStyle w:val="Default"/>
        <w:ind w:firstLine="709"/>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 xml:space="preserve">расходы на социальное обеспечение населения; </w:t>
      </w:r>
    </w:p>
    <w:p>
      <w:pPr>
        <w:pStyle w:val="Default"/>
        <w:ind w:firstLine="709"/>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штрафы и пени по налогам, штрафы, пени, неустойки за нарушение условий договоров;</w:t>
      </w:r>
    </w:p>
    <w:p>
      <w:pPr>
        <w:pStyle w:val="Default"/>
        <w:ind w:firstLine="709"/>
        <w:rPr>
          <w:rFonts w:ascii="Times New Roman" w:hAnsi="Times New Roman" w:cs="Times New Roman"/>
        </w:rPr>
      </w:pPr>
      <w:r>
        <w:rPr>
          <w:rFonts w:cs="Times New Roman" w:ascii="Times New Roman" w:hAnsi="Times New Roman"/>
        </w:rPr>
        <w:t xml:space="preserve"> – </w:t>
      </w:r>
      <w:r>
        <w:rPr>
          <w:rFonts w:cs="Times New Roman" w:ascii="Times New Roman" w:hAnsi="Times New Roman"/>
        </w:rPr>
        <w:t xml:space="preserve">амортизация по недвижимому, движимому и особо ценному движимому имуществу, которое закреплено за учреждением или приобретено за счет средств, выделенных учредителем; </w:t>
      </w:r>
    </w:p>
    <w:p>
      <w:pPr>
        <w:pStyle w:val="Default"/>
        <w:ind w:firstLine="709"/>
        <w:rPr>
          <w:rFonts w:ascii="Times New Roman" w:hAnsi="Times New Roman" w:cs="Times New Roman"/>
        </w:rPr>
      </w:pPr>
      <w:r>
        <w:rPr>
          <w:rFonts w:cs="Times New Roman" w:ascii="Times New Roman" w:hAnsi="Times New Roman"/>
        </w:rPr>
        <w:t>-расходы произведенные по КФО5 (иные цели);</w:t>
      </w:r>
    </w:p>
    <w:p>
      <w:pPr>
        <w:pStyle w:val="Default"/>
        <w:ind w:firstLine="709"/>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По окончании каждого месяца себестоимость услуг, сформированная на счете 0.109.00.000, относится в дебет счета 0.401.10.130 «Доходы текущего финансового года».</w:t>
      </w:r>
    </w:p>
    <w:p>
      <w:pPr>
        <w:pStyle w:val="Normal"/>
        <w:spacing w:lineRule="auto" w:line="240" w:before="0" w:after="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Себестоимость работ(услуг) , сформированную на счете 109.60000 «Себестоимость готовой продукции, работ, услуг» относится на финансовый результат текущего финансового года по итогам месяца.</w:t>
      </w:r>
    </w:p>
    <w:p>
      <w:pPr>
        <w:pStyle w:val="Normal"/>
        <w:spacing w:lineRule="auto" w:line="240" w:before="0" w:after="0"/>
        <w:ind w:firstLine="709"/>
        <w:contextualSpacing/>
        <w:jc w:val="both"/>
        <w:rPr>
          <w:rFonts w:ascii="Times New Roman" w:hAnsi="Times New Roman"/>
          <w:sz w:val="24"/>
          <w:szCs w:val="24"/>
        </w:rPr>
      </w:pPr>
      <w:r>
        <w:rPr>
          <w:rFonts w:ascii="Times New Roman" w:hAnsi="Times New Roman"/>
          <w:sz w:val="24"/>
          <w:szCs w:val="24"/>
        </w:rPr>
        <w:t xml:space="preserve">Синтетический учет операций по формированию себестоимости оказываемых услуг ведется в Журнале операций № 8 по прочим операций. </w:t>
      </w:r>
      <w:r>
        <w:rPr>
          <w:rFonts w:ascii="Times New Roman" w:hAnsi="Times New Roman"/>
          <w:bCs/>
          <w:sz w:val="24"/>
          <w:szCs w:val="24"/>
        </w:rPr>
        <w:t>У</w:t>
      </w:r>
      <w:r>
        <w:rPr>
          <w:rFonts w:ascii="Times New Roman" w:hAnsi="Times New Roman"/>
          <w:sz w:val="24"/>
          <w:szCs w:val="24"/>
        </w:rPr>
        <w:t>чет затрат при оказании услуг ведется в соответствии с содержанием хозяйственных операций:</w:t>
      </w:r>
      <w:r>
        <w:rPr>
          <w:rFonts w:ascii="Times New Roman" w:hAnsi="Times New Roman"/>
          <w:spacing w:val="-20"/>
          <w:sz w:val="24"/>
          <w:szCs w:val="24"/>
        </w:rPr>
        <w:t xml:space="preserve"> </w:t>
      </w:r>
      <w:r>
        <w:rPr>
          <w:rFonts w:ascii="Times New Roman" w:hAnsi="Times New Roman"/>
          <w:sz w:val="24"/>
          <w:szCs w:val="24"/>
        </w:rPr>
        <w:t>в</w:t>
      </w:r>
      <w:r>
        <w:rPr>
          <w:rFonts w:ascii="Times New Roman" w:hAnsi="Times New Roman"/>
          <w:spacing w:val="-20"/>
          <w:sz w:val="24"/>
          <w:szCs w:val="24"/>
        </w:rPr>
        <w:t xml:space="preserve"> </w:t>
      </w:r>
      <w:r>
        <w:rPr>
          <w:rFonts w:ascii="Times New Roman" w:hAnsi="Times New Roman"/>
          <w:sz w:val="24"/>
          <w:szCs w:val="24"/>
        </w:rPr>
        <w:t>Журнале операций № 6 по оплате труда, Журнале операций № 4 расчетов с поставщиками и подрядчиками, Журнале операций № 7 по выбытию и перемещению материальных активов, в Журнале операций № 8 по прочим операциям.</w:t>
      </w:r>
    </w:p>
    <w:p>
      <w:pPr>
        <w:pStyle w:val="Normal"/>
        <w:keepNext w:val="true"/>
        <w:numPr>
          <w:ilvl w:val="0"/>
          <w:numId w:val="0"/>
        </w:numPr>
        <w:spacing w:lineRule="auto" w:line="240" w:beforeAutospacing="1" w:afterAutospacing="1"/>
        <w:ind w:left="0" w:hanging="0"/>
        <w:jc w:val="center"/>
        <w:outlineLvl w:val="0"/>
        <w:rPr>
          <w:rFonts w:ascii="Times New Roman" w:hAnsi="Times New Roman"/>
          <w:b/>
          <w:b/>
          <w:bCs/>
          <w:kern w:val="2"/>
          <w:sz w:val="24"/>
          <w:szCs w:val="24"/>
          <w:lang w:eastAsia="ru-RU"/>
        </w:rPr>
      </w:pPr>
      <w:r>
        <w:rPr>
          <w:rFonts w:ascii="Times New Roman" w:hAnsi="Times New Roman"/>
          <w:b/>
          <w:bCs/>
          <w:kern w:val="2"/>
          <w:sz w:val="24"/>
          <w:szCs w:val="24"/>
          <w:lang w:eastAsia="ru-RU"/>
        </w:rPr>
        <w:t>Денежные средства и документы учреждения</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Безналичные денежные средства отражаются на лицевых счетах, открытых Учреждению, на основании выписок.</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Описи платежных документов, предоставляемых в департамент финансов и служащих основанием для совершения учреждением платежей  хранятся в журнале операций  с безналичными денежными средствами № 2 в месяце, в котором были совершены операции.</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 xml:space="preserve">Лимит кассы устанавливается Приказом Руководителя, при отсутствии кассовых операций лимит не устанавливается (п. 2 Указания 3210-У).  </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 xml:space="preserve">В целях организации контроля за целевым    использованием денежных документов операции по их использованию отражаются не только на счете   020105000 "Денежные документы", но и на  забалансовом счете 03 "Бланки строгой отчетности" (с детализацией по местам  использования или   хранения).  </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Бланки строгой отчетности учитываются на забалансовом счете по стоимости приобретения бланков, а при невозможности определения стоимости- по 1рублю за 1 бланк.</w:t>
      </w:r>
    </w:p>
    <w:p>
      <w:pPr>
        <w:pStyle w:val="Normal"/>
        <w:keepNext w:val="true"/>
        <w:numPr>
          <w:ilvl w:val="0"/>
          <w:numId w:val="0"/>
        </w:numPr>
        <w:spacing w:lineRule="auto" w:line="240" w:beforeAutospacing="1" w:afterAutospacing="1"/>
        <w:ind w:left="0" w:hanging="0"/>
        <w:jc w:val="center"/>
        <w:outlineLvl w:val="0"/>
        <w:rPr>
          <w:rFonts w:ascii="Times New Roman" w:hAnsi="Times New Roman"/>
          <w:b/>
          <w:b/>
          <w:bCs/>
          <w:kern w:val="2"/>
          <w:sz w:val="24"/>
          <w:szCs w:val="24"/>
          <w:lang w:eastAsia="ru-RU"/>
        </w:rPr>
      </w:pPr>
      <w:r>
        <w:rPr>
          <w:rFonts w:ascii="Times New Roman" w:hAnsi="Times New Roman"/>
          <w:b/>
          <w:bCs/>
          <w:kern w:val="2"/>
          <w:sz w:val="24"/>
          <w:szCs w:val="24"/>
          <w:lang w:eastAsia="ru-RU"/>
        </w:rPr>
        <w:t>Расчеты с дебиторами и кредиторами</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На счете 0 20500 000 «Расчеты по доходам» учитываются начисленные учреждением в момент возникновения требований к их плательщикам: </w:t>
      </w:r>
    </w:p>
    <w:p>
      <w:pPr>
        <w:pStyle w:val="Normal"/>
        <w:numPr>
          <w:ilvl w:val="0"/>
          <w:numId w:val="11"/>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Согласно заключенным договорам,</w:t>
      </w:r>
    </w:p>
    <w:p>
      <w:pPr>
        <w:pStyle w:val="Normal"/>
        <w:numPr>
          <w:ilvl w:val="0"/>
          <w:numId w:val="11"/>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По соглашениям,</w:t>
      </w:r>
    </w:p>
    <w:p>
      <w:pPr>
        <w:pStyle w:val="Normal"/>
        <w:numPr>
          <w:ilvl w:val="0"/>
          <w:numId w:val="11"/>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При выполнении возложенных согласно законодательству РФ функций.</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Денежные средства от виновных лиц в возмещение ущерба, причиненного нефинансовым активам, отражаются по коду вида деятельности «2» – приносящая доход деятельность (собственные доходы учреждения).</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 </w:t>
      </w:r>
      <w:r>
        <w:rPr>
          <w:rFonts w:ascii="Times New Roman" w:hAnsi="Times New Roman"/>
          <w:sz w:val="24"/>
          <w:szCs w:val="24"/>
          <w:lang w:eastAsia="ru-RU"/>
        </w:rPr>
        <w:t>В учреждении применяется счет КБК Х.304.01.000 для расчетов с учреждением по предоставлению учреждению:</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-обеспечений заявок на участие в конкурсе или закрытом аукционе;</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-обеспечений исполнения контракта (договора);</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-обеспечений заявок при проведении электронных аукционов, перечисленных на счет оператора электронной площадки в банке;</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-других залогов, задатков.</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Операции по счету КБК Х.304.01.000 оформляются бухгалтерскими записями:</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Дебет КБК Х.201.11.510 Кредит КБК Х.304.01.730 – при перечислении на лицевой счет учреждению средств; </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Дебет КБК Х.304.01.830 Кредит КБК Х.201.11.610 – возврат денежных средств с лицевого  счета учреждения.</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Отражение в учете задолженности дебиторов по предъявленным к ним учреждением штрафам, пеням, иным санкциям производится на основании признанных должником или подлежащих уплате должником на основании решения суда, вступившего в законную силу, штрафов, пеней, иных санкций.</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Отражение пеней, штрафов, неустоек, возникающих в силу контрактов, договоров, соглашений в результате урегулирования спора в досудебном порядке, производится в момент возникновения требований к их плательщикам.</w:t>
      </w:r>
    </w:p>
    <w:p>
      <w:pPr>
        <w:pStyle w:val="Normal"/>
        <w:keepNext w:val="true"/>
        <w:numPr>
          <w:ilvl w:val="0"/>
          <w:numId w:val="0"/>
        </w:numPr>
        <w:spacing w:lineRule="auto" w:line="240" w:beforeAutospacing="1" w:afterAutospacing="1"/>
        <w:ind w:left="0" w:hanging="0"/>
        <w:jc w:val="center"/>
        <w:outlineLvl w:val="0"/>
        <w:rPr>
          <w:rFonts w:ascii="Times New Roman" w:hAnsi="Times New Roman"/>
          <w:b/>
          <w:b/>
          <w:bCs/>
          <w:kern w:val="2"/>
          <w:sz w:val="24"/>
          <w:szCs w:val="24"/>
          <w:lang w:eastAsia="ru-RU"/>
        </w:rPr>
      </w:pPr>
      <w:r>
        <w:rPr>
          <w:rFonts w:ascii="Times New Roman" w:hAnsi="Times New Roman"/>
          <w:b/>
          <w:bCs/>
          <w:kern w:val="2"/>
          <w:sz w:val="24"/>
          <w:szCs w:val="24"/>
          <w:lang w:eastAsia="ru-RU"/>
        </w:rPr>
        <w:t>Расчеты по выданным авансам</w:t>
      </w:r>
    </w:p>
    <w:p>
      <w:pPr>
        <w:pStyle w:val="Normal"/>
        <w:spacing w:lineRule="auto" w:line="240" w:beforeAutospacing="1" w:afterAutospacing="1"/>
        <w:ind w:firstLine="540"/>
        <w:jc w:val="both"/>
        <w:rPr>
          <w:rFonts w:ascii="Times New Roman" w:hAnsi="Times New Roman"/>
          <w:sz w:val="24"/>
          <w:szCs w:val="24"/>
          <w:lang w:eastAsia="ru-RU"/>
        </w:rPr>
      </w:pPr>
      <w:r>
        <w:rPr>
          <w:rFonts w:ascii="Times New Roman" w:hAnsi="Times New Roman"/>
          <w:sz w:val="24"/>
          <w:szCs w:val="24"/>
          <w:lang w:eastAsia="ru-RU"/>
        </w:rPr>
        <w:t xml:space="preserve">Расчеты по предоставленным учреждением в соответствии с условиями заключенных договоров (контрактов), соглашений авансовым выплатам (кроме авансов, выданных подотчетным лицам) осуществляются с использованием счета 0 20600 000 «Расчеты по выданным авансам». </w:t>
      </w:r>
    </w:p>
    <w:p>
      <w:pPr>
        <w:pStyle w:val="Normal"/>
        <w:spacing w:lineRule="auto" w:line="240" w:beforeAutospacing="1" w:afterAutospacing="1"/>
        <w:ind w:firstLine="540"/>
        <w:jc w:val="both"/>
        <w:rPr>
          <w:rFonts w:ascii="Times New Roman" w:hAnsi="Times New Roman"/>
          <w:sz w:val="24"/>
          <w:szCs w:val="24"/>
          <w:lang w:eastAsia="ru-RU"/>
        </w:rPr>
      </w:pPr>
      <w:r>
        <w:rPr>
          <w:rFonts w:ascii="Times New Roman" w:hAnsi="Times New Roman"/>
          <w:sz w:val="24"/>
          <w:szCs w:val="24"/>
          <w:lang w:eastAsia="ru-RU"/>
        </w:rPr>
        <w:t xml:space="preserve"> </w:t>
      </w:r>
      <w:r>
        <w:rPr>
          <w:rFonts w:ascii="Times New Roman" w:hAnsi="Times New Roman"/>
          <w:sz w:val="24"/>
          <w:szCs w:val="24"/>
          <w:lang w:eastAsia="ru-RU"/>
        </w:rPr>
        <w:t>(п. 109 Инструкции 174н, Письмо Минфина России N 02-02-04/67438, Казначейства России N 42-7.4-05/5.1-805 от 25.12.2014).</w:t>
      </w:r>
    </w:p>
    <w:p>
      <w:pPr>
        <w:pStyle w:val="Normal"/>
        <w:keepNext w:val="true"/>
        <w:numPr>
          <w:ilvl w:val="0"/>
          <w:numId w:val="0"/>
        </w:numPr>
        <w:spacing w:lineRule="auto" w:line="240" w:beforeAutospacing="1" w:afterAutospacing="1"/>
        <w:ind w:left="0" w:hanging="0"/>
        <w:jc w:val="center"/>
        <w:outlineLvl w:val="0"/>
        <w:rPr>
          <w:rFonts w:ascii="Times New Roman" w:hAnsi="Times New Roman"/>
          <w:b/>
          <w:b/>
          <w:bCs/>
          <w:kern w:val="2"/>
          <w:sz w:val="24"/>
          <w:szCs w:val="24"/>
          <w:lang w:eastAsia="ru-RU"/>
        </w:rPr>
      </w:pPr>
      <w:r>
        <w:rPr>
          <w:rFonts w:ascii="Times New Roman" w:hAnsi="Times New Roman"/>
          <w:b/>
          <w:bCs/>
          <w:kern w:val="2"/>
          <w:sz w:val="24"/>
          <w:szCs w:val="24"/>
          <w:lang w:eastAsia="ru-RU"/>
        </w:rPr>
        <w:t>Расчеты с персоналом по оплате труда</w:t>
      </w:r>
    </w:p>
    <w:p>
      <w:pPr>
        <w:pStyle w:val="Normal"/>
        <w:spacing w:lineRule="auto" w:line="240" w:before="0" w:after="0"/>
        <w:ind w:firstLine="539"/>
        <w:jc w:val="both"/>
        <w:rPr>
          <w:rFonts w:ascii="Times New Roman" w:hAnsi="Times New Roman"/>
          <w:sz w:val="24"/>
          <w:szCs w:val="24"/>
          <w:lang w:eastAsia="ru-RU"/>
        </w:rPr>
      </w:pPr>
      <w:r>
        <w:rPr>
          <w:rFonts w:ascii="Times New Roman" w:hAnsi="Times New Roman"/>
          <w:sz w:val="24"/>
          <w:szCs w:val="24"/>
          <w:lang w:eastAsia="ru-RU"/>
        </w:rPr>
        <w:t xml:space="preserve">В случае привлечения работников Учреждения к мероприятиям по созданию   основных средств или материальных запасов суммы начисленной им заработной платы вместо отнесения на текущие затраты подлежат включению в первоначальную стоимость данных активов. </w:t>
      </w:r>
    </w:p>
    <w:p>
      <w:pPr>
        <w:pStyle w:val="Normal"/>
        <w:spacing w:lineRule="auto" w:line="240" w:before="0" w:after="0"/>
        <w:ind w:firstLine="539"/>
        <w:jc w:val="both"/>
        <w:rPr>
          <w:rFonts w:ascii="Times New Roman" w:hAnsi="Times New Roman"/>
          <w:sz w:val="24"/>
          <w:szCs w:val="24"/>
          <w:lang w:eastAsia="ru-RU"/>
        </w:rPr>
      </w:pPr>
      <w:r>
        <w:rPr>
          <w:rFonts w:ascii="Times New Roman" w:hAnsi="Times New Roman"/>
          <w:sz w:val="24"/>
          <w:szCs w:val="24"/>
          <w:lang w:eastAsia="ru-RU"/>
        </w:rPr>
        <w:t>При этом рабочее время указанных работников, затраченное ими на создание основных средств или нематериальных активов, оформляется заказами-нарядами и не отражается в   табелях учета рабочего времени.   При невозможности точно определить количество рабочего времени, затраченного на создание основных средств или нематериальных активов, вся сумма начисленной заработной платы относится на   текущие расходы.</w:t>
      </w:r>
    </w:p>
    <w:p>
      <w:pPr>
        <w:pStyle w:val="Normal"/>
        <w:spacing w:lineRule="auto" w:line="240" w:before="0" w:after="0"/>
        <w:ind w:firstLine="539"/>
        <w:jc w:val="both"/>
        <w:rPr>
          <w:rFonts w:ascii="Times New Roman" w:hAnsi="Times New Roman"/>
          <w:sz w:val="24"/>
          <w:szCs w:val="24"/>
          <w:lang w:eastAsia="ru-RU"/>
        </w:rPr>
      </w:pPr>
      <w:r>
        <w:rPr>
          <w:rFonts w:ascii="Times New Roman" w:hAnsi="Times New Roman"/>
          <w:sz w:val="24"/>
          <w:szCs w:val="24"/>
          <w:lang w:eastAsia="ru-RU"/>
        </w:rPr>
        <w:t>Табель учета использования рабочего времени (ф. 0504421) ведется по отклонениям от нормального использования рабочего времени,</w:t>
      </w:r>
      <w:r>
        <w:rPr>
          <w:rFonts w:ascii="Times New Roman" w:hAnsi="Times New Roman"/>
          <w:sz w:val="24"/>
          <w:szCs w:val="24"/>
        </w:rPr>
        <w:t xml:space="preserve"> </w:t>
      </w:r>
      <w:r>
        <w:rPr>
          <w:rFonts w:ascii="Times New Roman" w:hAnsi="Times New Roman"/>
          <w:sz w:val="24"/>
          <w:szCs w:val="24"/>
          <w:lang w:eastAsia="ru-RU"/>
        </w:rPr>
        <w:t>установленного правилами внутреннего трудового распорядка.  (Приказ 52н).</w:t>
      </w:r>
      <w:r>
        <w:rPr>
          <w:rFonts w:ascii="Times New Roman" w:hAnsi="Times New Roman"/>
          <w:color w:val="000000"/>
          <w:sz w:val="24"/>
          <w:szCs w:val="24"/>
          <w:lang w:eastAsia="ru-RU"/>
        </w:rPr>
        <w:t xml:space="preserve">       </w:t>
      </w:r>
      <w:r>
        <w:rPr>
          <w:rFonts w:ascii="Times New Roman" w:hAnsi="Times New Roman"/>
          <w:sz w:val="24"/>
          <w:szCs w:val="24"/>
          <w:lang w:eastAsia="ru-RU"/>
        </w:rPr>
        <w:t>Дополнительные условные обозначения в  табеле учета использования рабочего времени (ф. 0504421):</w:t>
      </w:r>
    </w:p>
    <w:p>
      <w:pPr>
        <w:pStyle w:val="Normal"/>
        <w:spacing w:lineRule="auto" w:line="240" w:before="0" w:after="0"/>
        <w:ind w:firstLine="539"/>
        <w:jc w:val="both"/>
        <w:rPr>
          <w:rFonts w:ascii="Times New Roman" w:hAnsi="Times New Roman"/>
          <w:sz w:val="24"/>
          <w:szCs w:val="24"/>
          <w:lang w:eastAsia="ru-RU"/>
        </w:rPr>
      </w:pPr>
      <w:r>
        <w:rPr>
          <w:rFonts w:ascii="Times New Roman" w:hAnsi="Times New Roman"/>
          <w:sz w:val="24"/>
          <w:szCs w:val="24"/>
          <w:lang w:eastAsia="ru-RU"/>
        </w:rPr>
      </w:r>
    </w:p>
    <w:tbl>
      <w:tblPr>
        <w:tblW w:w="7764" w:type="dxa"/>
        <w:jc w:val="left"/>
        <w:tblInd w:w="0" w:type="dxa"/>
        <w:tblLayout w:type="fixed"/>
        <w:tblCellMar>
          <w:top w:w="0" w:type="dxa"/>
          <w:left w:w="108" w:type="dxa"/>
          <w:bottom w:w="0" w:type="dxa"/>
          <w:right w:w="108" w:type="dxa"/>
        </w:tblCellMar>
        <w:tblLook w:val="0000"/>
      </w:tblPr>
      <w:tblGrid>
        <w:gridCol w:w="5778"/>
        <w:gridCol w:w="1985"/>
      </w:tblGrid>
      <w:tr>
        <w:trPr>
          <w:trHeight w:val="93" w:hRule="atLeast"/>
        </w:trPr>
        <w:tc>
          <w:tcPr>
            <w:tcW w:w="577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ind w:firstLine="540"/>
              <w:jc w:val="both"/>
              <w:rPr>
                <w:rFonts w:ascii="Times New Roman" w:hAnsi="Times New Roman"/>
                <w:sz w:val="24"/>
                <w:szCs w:val="24"/>
                <w:lang w:eastAsia="ru-RU"/>
              </w:rPr>
            </w:pPr>
            <w:r>
              <w:rPr>
                <w:rFonts w:ascii="Times New Roman" w:hAnsi="Times New Roman"/>
                <w:b/>
                <w:bCs/>
                <w:sz w:val="24"/>
                <w:szCs w:val="24"/>
                <w:lang w:eastAsia="ru-RU"/>
              </w:rPr>
              <w:t>Наименование показателя</w:t>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ind w:firstLine="540"/>
              <w:jc w:val="both"/>
              <w:rPr>
                <w:rFonts w:ascii="Times New Roman" w:hAnsi="Times New Roman"/>
                <w:sz w:val="24"/>
                <w:szCs w:val="24"/>
                <w:lang w:eastAsia="ru-RU"/>
              </w:rPr>
            </w:pPr>
            <w:r>
              <w:rPr>
                <w:rFonts w:ascii="Times New Roman" w:hAnsi="Times New Roman"/>
                <w:b/>
                <w:bCs/>
                <w:sz w:val="24"/>
                <w:szCs w:val="24"/>
                <w:lang w:eastAsia="ru-RU"/>
              </w:rPr>
              <w:t>Код</w:t>
            </w:r>
          </w:p>
        </w:tc>
      </w:tr>
      <w:tr>
        <w:trPr>
          <w:trHeight w:val="207" w:hRule="atLeast"/>
        </w:trPr>
        <w:tc>
          <w:tcPr>
            <w:tcW w:w="577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ind w:firstLine="540"/>
              <w:jc w:val="both"/>
              <w:rPr>
                <w:rFonts w:ascii="Times New Roman" w:hAnsi="Times New Roman"/>
                <w:sz w:val="24"/>
                <w:szCs w:val="24"/>
                <w:lang w:eastAsia="ru-RU"/>
              </w:rPr>
            </w:pPr>
            <w:r>
              <w:rPr>
                <w:rFonts w:ascii="Times New Roman" w:hAnsi="Times New Roman"/>
                <w:sz w:val="24"/>
                <w:szCs w:val="24"/>
                <w:lang w:eastAsia="ru-RU"/>
              </w:rPr>
              <w:t>Дополнительные выходные дни (оплачиваемые)</w:t>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ind w:firstLine="540"/>
              <w:jc w:val="both"/>
              <w:rPr>
                <w:rFonts w:ascii="Times New Roman" w:hAnsi="Times New Roman"/>
                <w:sz w:val="24"/>
                <w:szCs w:val="24"/>
                <w:lang w:eastAsia="ru-RU"/>
              </w:rPr>
            </w:pPr>
            <w:r>
              <w:rPr>
                <w:rFonts w:ascii="Times New Roman" w:hAnsi="Times New Roman"/>
                <w:sz w:val="24"/>
                <w:szCs w:val="24"/>
                <w:lang w:eastAsia="ru-RU"/>
              </w:rPr>
              <w:t>ОВ</w:t>
            </w:r>
          </w:p>
        </w:tc>
      </w:tr>
      <w:tr>
        <w:trPr>
          <w:trHeight w:val="93" w:hRule="atLeast"/>
        </w:trPr>
        <w:tc>
          <w:tcPr>
            <w:tcW w:w="577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ind w:firstLine="540"/>
              <w:jc w:val="both"/>
              <w:rPr>
                <w:rFonts w:ascii="Times New Roman" w:hAnsi="Times New Roman"/>
                <w:sz w:val="24"/>
                <w:szCs w:val="24"/>
                <w:lang w:eastAsia="ru-RU"/>
              </w:rPr>
            </w:pPr>
            <w:r>
              <w:rPr>
                <w:rFonts w:ascii="Times New Roman" w:hAnsi="Times New Roman"/>
                <w:sz w:val="24"/>
                <w:szCs w:val="24"/>
                <w:lang w:eastAsia="ru-RU"/>
              </w:rPr>
              <w:t>Замещение</w:t>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ind w:firstLine="540"/>
              <w:jc w:val="both"/>
              <w:rPr>
                <w:rFonts w:ascii="Times New Roman" w:hAnsi="Times New Roman"/>
                <w:sz w:val="24"/>
                <w:szCs w:val="24"/>
                <w:lang w:eastAsia="ru-RU"/>
              </w:rPr>
            </w:pPr>
            <w:r>
              <w:rPr>
                <w:rFonts w:ascii="Times New Roman" w:hAnsi="Times New Roman"/>
                <w:sz w:val="24"/>
                <w:szCs w:val="24"/>
                <w:lang w:eastAsia="ru-RU"/>
              </w:rPr>
              <w:t>З</w:t>
            </w:r>
          </w:p>
        </w:tc>
      </w:tr>
      <w:tr>
        <w:trPr>
          <w:trHeight w:val="444" w:hRule="atLeast"/>
        </w:trPr>
        <w:tc>
          <w:tcPr>
            <w:tcW w:w="577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ind w:firstLine="540"/>
              <w:jc w:val="both"/>
              <w:rPr>
                <w:rFonts w:ascii="Times New Roman" w:hAnsi="Times New Roman"/>
                <w:sz w:val="24"/>
                <w:szCs w:val="24"/>
                <w:lang w:eastAsia="ru-RU"/>
              </w:rPr>
            </w:pPr>
            <w:r>
              <w:rPr>
                <w:rFonts w:ascii="Times New Roman" w:hAnsi="Times New Roman"/>
                <w:sz w:val="24"/>
                <w:szCs w:val="24"/>
                <w:lang w:eastAsia="ru-RU"/>
              </w:rPr>
              <w:t>Курсы повышения квалификации</w:t>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ind w:firstLine="540"/>
              <w:jc w:val="both"/>
              <w:rPr>
                <w:rFonts w:ascii="Times New Roman" w:hAnsi="Times New Roman"/>
                <w:sz w:val="24"/>
                <w:szCs w:val="24"/>
                <w:lang w:eastAsia="ru-RU"/>
              </w:rPr>
            </w:pPr>
            <w:r>
              <w:rPr>
                <w:rFonts w:ascii="Times New Roman" w:hAnsi="Times New Roman"/>
                <w:sz w:val="24"/>
                <w:szCs w:val="24"/>
                <w:lang w:eastAsia="ru-RU"/>
              </w:rPr>
              <w:t>ВУ</w:t>
            </w:r>
          </w:p>
        </w:tc>
      </w:tr>
      <w:tr>
        <w:trPr>
          <w:trHeight w:val="444" w:hRule="atLeast"/>
        </w:trPr>
        <w:tc>
          <w:tcPr>
            <w:tcW w:w="577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ind w:firstLine="540"/>
              <w:jc w:val="both"/>
              <w:rPr>
                <w:rFonts w:ascii="Times New Roman" w:hAnsi="Times New Roman"/>
                <w:sz w:val="24"/>
                <w:szCs w:val="24"/>
                <w:lang w:eastAsia="ru-RU"/>
              </w:rPr>
            </w:pPr>
            <w:r>
              <w:rPr>
                <w:rFonts w:ascii="Times New Roman" w:hAnsi="Times New Roman"/>
                <w:sz w:val="24"/>
                <w:szCs w:val="24"/>
                <w:lang w:eastAsia="ru-RU"/>
              </w:rPr>
              <w:t>Выполнение государственных обязанностей, для случаев выполнения сотрудниками общественных обязанностей (например, для регистрации дней медицинского освидетельствования перед сдачей крови, дней сдачи крови).</w:t>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ind w:firstLine="540"/>
              <w:jc w:val="both"/>
              <w:rPr>
                <w:rFonts w:ascii="Times New Roman" w:hAnsi="Times New Roman"/>
                <w:sz w:val="24"/>
                <w:szCs w:val="24"/>
                <w:lang w:eastAsia="ru-RU"/>
              </w:rPr>
            </w:pPr>
            <w:r>
              <w:rPr>
                <w:rFonts w:ascii="Times New Roman" w:hAnsi="Times New Roman"/>
                <w:sz w:val="24"/>
                <w:szCs w:val="24"/>
                <w:lang w:eastAsia="ru-RU"/>
              </w:rPr>
              <w:t>Г</w:t>
            </w:r>
          </w:p>
        </w:tc>
      </w:tr>
    </w:tbl>
    <w:p>
      <w:pPr>
        <w:pStyle w:val="Normal"/>
        <w:spacing w:lineRule="auto" w:line="240" w:before="0" w:after="0"/>
        <w:ind w:firstLine="709"/>
        <w:jc w:val="both"/>
        <w:rPr>
          <w:rFonts w:ascii="Times New Roman" w:hAnsi="Times New Roman"/>
          <w:sz w:val="24"/>
          <w:szCs w:val="24"/>
        </w:rPr>
      </w:pPr>
      <w:r>
        <w:rPr>
          <w:rFonts w:ascii="Times New Roman" w:hAnsi="Times New Roman"/>
          <w:sz w:val="24"/>
          <w:szCs w:val="24"/>
        </w:rPr>
        <w:t xml:space="preserve">Учет и начисления заработной платы сторожей дошкольного учреждения производится по суммарно - фактически отработанному времени. Расчет заработной платы сторожей производится по формуле: заработная плата равна: оклад деленный на норму времени данного месяца и умноженный на количество фактически отработанных часов. Ночные и праздничные дни данного месяца рассчитываются исходя из нормы времени этого  месяца.  </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Прочие расчеты с персоналом   осуществляются в сроки выплаты заработной платы</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Сроки выдачи заработной платы и осуществления  других расчетов с  персоналом:</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 xml:space="preserve">- выдача аванса - 26 числа текущего месяца; </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 xml:space="preserve">- окончательный расчет - 11 числа месяца,   следующего за текущим.                           </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 xml:space="preserve">Расчеты с персоналом учреждения при увольнении, а также при предоставлении очередных отпусков осуществляются в течение 3 дней со дня подписания соответствующего  приказа руководителя. </w:t>
      </w:r>
    </w:p>
    <w:p>
      <w:pPr>
        <w:pStyle w:val="Normal"/>
        <w:spacing w:lineRule="auto" w:line="240" w:before="0" w:after="0"/>
        <w:ind w:firstLine="709"/>
        <w:jc w:val="both"/>
        <w:rPr>
          <w:rFonts w:ascii="Times New Roman" w:hAnsi="Times New Roman"/>
          <w:lang w:eastAsia="ru-RU"/>
        </w:rPr>
      </w:pPr>
      <w:r>
        <w:rPr>
          <w:rFonts w:ascii="Times New Roman" w:hAnsi="Times New Roman"/>
          <w:sz w:val="24"/>
          <w:szCs w:val="24"/>
          <w:lang w:eastAsia="ru-RU"/>
        </w:rPr>
        <w:t xml:space="preserve">Способ выплаты заработной платы и осуществления других расчетов с персоналом- посредством перечисления денежных средств  на </w:t>
      </w:r>
      <w:r>
        <w:rPr>
          <w:rFonts w:ascii="Times New Roman" w:hAnsi="Times New Roman"/>
          <w:sz w:val="24"/>
          <w:szCs w:val="24"/>
        </w:rPr>
        <w:t>банковские карты работников</w:t>
      </w:r>
      <w:r>
        <w:rPr>
          <w:rFonts w:ascii="Times New Roman" w:hAnsi="Times New Roman"/>
          <w:sz w:val="24"/>
          <w:szCs w:val="24"/>
          <w:lang w:eastAsia="ru-RU"/>
        </w:rPr>
        <w:t xml:space="preserve"> через </w:t>
      </w:r>
      <w:r>
        <w:rPr>
          <w:rFonts w:ascii="Times New Roman" w:hAnsi="Times New Roman"/>
          <w:spacing w:val="-8"/>
        </w:rPr>
        <w:t>ПАО Сбербанк.</w:t>
      </w:r>
    </w:p>
    <w:p>
      <w:pPr>
        <w:pStyle w:val="Normal"/>
        <w:widowControl w:val="false"/>
        <w:shd w:val="clear" w:color="auto" w:fill="FFFFFF"/>
        <w:tabs>
          <w:tab w:val="clear" w:pos="708"/>
          <w:tab w:val="left" w:pos="1397" w:leader="none"/>
          <w:tab w:val="left" w:pos="9540" w:leader="none"/>
        </w:tabs>
        <w:spacing w:beforeAutospacing="1" w:afterAutospacing="1"/>
        <w:ind w:right="-6" w:firstLine="567"/>
        <w:contextualSpacing/>
        <w:jc w:val="both"/>
        <w:rPr>
          <w:rFonts w:ascii="Times New Roman" w:hAnsi="Times New Roman"/>
          <w:spacing w:val="-8"/>
          <w:sz w:val="24"/>
          <w:szCs w:val="24"/>
        </w:rPr>
      </w:pPr>
      <w:r>
        <w:rPr>
          <w:rFonts w:ascii="Times New Roman" w:hAnsi="Times New Roman"/>
          <w:spacing w:val="-8"/>
          <w:sz w:val="24"/>
          <w:szCs w:val="24"/>
        </w:rPr>
        <w:t>Документом, в котором работодатель информирует работника о полученной заработной плате, а также о произведенных удержаниях, является расчетный листок.(Приложение №8)</w:t>
      </w:r>
    </w:p>
    <w:p>
      <w:pPr>
        <w:pStyle w:val="Normal"/>
        <w:widowControl w:val="false"/>
        <w:shd w:val="clear" w:color="auto" w:fill="FFFFFF"/>
        <w:tabs>
          <w:tab w:val="clear" w:pos="708"/>
          <w:tab w:val="left" w:pos="1397" w:leader="none"/>
          <w:tab w:val="left" w:pos="9540" w:leader="none"/>
        </w:tabs>
        <w:spacing w:beforeAutospacing="1" w:afterAutospacing="1"/>
        <w:ind w:right="-6" w:firstLine="567"/>
        <w:contextualSpacing/>
        <w:jc w:val="both"/>
        <w:rPr>
          <w:rFonts w:ascii="Times New Roman" w:hAnsi="Times New Roman"/>
          <w:spacing w:val="-8"/>
        </w:rPr>
      </w:pPr>
      <w:r>
        <w:rPr>
          <w:rFonts w:ascii="Times New Roman" w:hAnsi="Times New Roman"/>
          <w:spacing w:val="-8"/>
          <w:sz w:val="24"/>
          <w:szCs w:val="24"/>
        </w:rPr>
        <w:t>Учет заработной платы отражается в карточках-справках формы №0504417</w:t>
      </w:r>
      <w:r>
        <w:rPr>
          <w:rFonts w:ascii="Times New Roman" w:hAnsi="Times New Roman"/>
          <w:spacing w:val="-8"/>
        </w:rPr>
        <w:t xml:space="preserve">. </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 xml:space="preserve">Аналитический учет расчетов по оплате труда ведется в разрезе сотрудников в Журнале операций расчетов по оплате труда (п. 257 Инструкции 157н). </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0" w:after="0"/>
        <w:ind w:firstLine="709"/>
        <w:jc w:val="both"/>
        <w:rPr>
          <w:rFonts w:ascii="Times New Roman" w:hAnsi="Times New Roman"/>
          <w:b/>
          <w:b/>
          <w:sz w:val="24"/>
          <w:szCs w:val="24"/>
          <w:lang w:eastAsia="ru-RU"/>
        </w:rPr>
      </w:pPr>
      <w:r>
        <w:rPr>
          <w:rFonts w:ascii="Times New Roman" w:hAnsi="Times New Roman"/>
          <w:b/>
          <w:sz w:val="24"/>
          <w:szCs w:val="24"/>
          <w:lang w:eastAsia="ru-RU"/>
        </w:rPr>
        <w:t>Расчеты с персоналом по отдельным операциям</w:t>
      </w:r>
    </w:p>
    <w:p>
      <w:pPr>
        <w:pStyle w:val="Normal"/>
        <w:spacing w:lineRule="auto" w:line="240" w:before="0" w:after="0"/>
        <w:ind w:firstLine="709"/>
        <w:jc w:val="both"/>
        <w:rPr>
          <w:rFonts w:ascii="Times New Roman" w:hAnsi="Times New Roman"/>
          <w:b/>
          <w:b/>
          <w:sz w:val="24"/>
          <w:szCs w:val="24"/>
          <w:lang w:eastAsia="ru-RU"/>
        </w:rPr>
      </w:pPr>
      <w:r>
        <w:rPr>
          <w:rFonts w:ascii="Times New Roman" w:hAnsi="Times New Roman"/>
          <w:b/>
          <w:sz w:val="24"/>
          <w:szCs w:val="24"/>
          <w:lang w:eastAsia="ru-RU"/>
        </w:rPr>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Питание сотрудников осуществляется путем получения услуги по организации горячего питания сторонней организацией. Стоимость питания с сотрудника удерживается из заработной платы на основании составленного табеля питания сотрудников и предоставления организацией акта выполненных работ за прошедший месяц с последующим перечислением денежных средств на счет организации, оказывающей услугу по предоставлению питания сотрудникам.</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Аналитический учет расчетов по пособиям и иным социальным выплатам ведется в разрезе физических лиц- получателей социальных выплат.</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При поступлении имущества и наличных денег от жертвователя или дарителя составляется акт в свободной форме, в котором должны быть:</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-указаны обязательные реквизиты, предусмотренные пунктом 25 Стандарта «Концептуальные основы бухучета и отчетности»;</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-поставлены подписи передающей и принимающей сторон.</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Если имущество и наличные деньги поступают без оформления письменного договора, передающая сторона:</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-делает в акте запись о том, что имущество или деньги переданы безвозмездно;</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-при необходимости указывает цели, на которые необходимо использовать пожертвованные деньги или имущество.</w:t>
      </w:r>
    </w:p>
    <w:p>
      <w:pPr>
        <w:pStyle w:val="Normal"/>
        <w:keepNext w:val="true"/>
        <w:numPr>
          <w:ilvl w:val="0"/>
          <w:numId w:val="0"/>
        </w:numPr>
        <w:spacing w:lineRule="auto" w:line="240" w:beforeAutospacing="1" w:afterAutospacing="1"/>
        <w:ind w:left="0" w:hanging="0"/>
        <w:jc w:val="center"/>
        <w:outlineLvl w:val="0"/>
        <w:rPr>
          <w:rFonts w:ascii="Times New Roman" w:hAnsi="Times New Roman"/>
          <w:b/>
          <w:b/>
          <w:bCs/>
          <w:kern w:val="2"/>
          <w:sz w:val="24"/>
          <w:szCs w:val="24"/>
          <w:lang w:eastAsia="ru-RU"/>
        </w:rPr>
      </w:pPr>
      <w:r>
        <w:rPr>
          <w:rFonts w:ascii="Times New Roman" w:hAnsi="Times New Roman"/>
          <w:b/>
          <w:bCs/>
          <w:kern w:val="2"/>
          <w:sz w:val="24"/>
          <w:szCs w:val="24"/>
          <w:lang w:eastAsia="ru-RU"/>
        </w:rPr>
        <w:t>Расчеты по обязательствам учреждения</w:t>
      </w:r>
    </w:p>
    <w:p>
      <w:pPr>
        <w:pStyle w:val="Normal"/>
        <w:spacing w:lineRule="auto" w:line="240" w:before="0" w:after="0"/>
        <w:ind w:firstLine="539"/>
        <w:jc w:val="both"/>
        <w:rPr>
          <w:rFonts w:ascii="Times New Roman" w:hAnsi="Times New Roman"/>
          <w:sz w:val="24"/>
          <w:szCs w:val="24"/>
          <w:lang w:eastAsia="ru-RU"/>
        </w:rPr>
      </w:pPr>
      <w:r>
        <w:rPr>
          <w:rFonts w:ascii="Times New Roman" w:hAnsi="Times New Roman"/>
          <w:sz w:val="24"/>
          <w:szCs w:val="24"/>
          <w:lang w:eastAsia="ru-RU"/>
        </w:rPr>
        <w:t>Учет принятых обязательств и денежных обязательств осуществляется на основании документов, подтверждающих их принятие в размере утвержденных субсидий на выполнение муниципального задания и доходов от приносящей доход деятельность (Приложение7).</w:t>
      </w:r>
    </w:p>
    <w:p>
      <w:pPr>
        <w:pStyle w:val="Normal"/>
        <w:spacing w:lineRule="auto" w:line="240" w:before="0" w:after="0"/>
        <w:ind w:firstLine="539"/>
        <w:jc w:val="both"/>
        <w:rPr>
          <w:rFonts w:ascii="Times New Roman" w:hAnsi="Times New Roman"/>
          <w:sz w:val="24"/>
          <w:szCs w:val="24"/>
          <w:lang w:eastAsia="ru-RU"/>
        </w:rPr>
      </w:pPr>
      <w:r>
        <w:rPr>
          <w:rFonts w:ascii="Times New Roman" w:hAnsi="Times New Roman"/>
          <w:sz w:val="24"/>
          <w:szCs w:val="24"/>
          <w:lang w:eastAsia="ru-RU"/>
        </w:rPr>
        <w:t xml:space="preserve">К принятым бюджетным обязательствам текущего финансового года относятся расходные обязательства, предусмотренные к исполнению за счет соответствующего бюджета в  текущем финансовом году , в том числе принятые и неисполненные бюджетные обязательства прошлых лет, которые подлежат отражению в бюджетном учете. </w:t>
      </w:r>
    </w:p>
    <w:p>
      <w:pPr>
        <w:pStyle w:val="Normal"/>
        <w:spacing w:lineRule="auto" w:line="240" w:before="0" w:after="0"/>
        <w:ind w:firstLine="539"/>
        <w:jc w:val="both"/>
        <w:rPr>
          <w:rFonts w:ascii="Times New Roman" w:hAnsi="Times New Roman"/>
          <w:sz w:val="24"/>
          <w:szCs w:val="24"/>
          <w:lang w:eastAsia="ru-RU"/>
        </w:rPr>
      </w:pPr>
      <w:r>
        <w:rPr>
          <w:rFonts w:ascii="Times New Roman" w:hAnsi="Times New Roman"/>
          <w:sz w:val="24"/>
          <w:szCs w:val="24"/>
          <w:lang w:eastAsia="ru-RU"/>
        </w:rPr>
        <w:t>Изменения в показателях бюджетных ассигнований, лимитов бюджетных обязательств, утвержденных сметных (плановых, прогнозных) назначений по доходам (поступлениям), расходам (выплатам), обязательств учреждения (далее - принятые обязательства), денежных обязательств, утвержденные (принятые) в установленном порядке в течение текущего финансового года (далее - внесенные изменения), отражаются в бухгалтерском учете корреспонденциями на соответствующих счетах санкционирования расходов учреждения: при утверждении увеличения показателей - со знаком "плюс"; при утверждении уменьшения показателей - со знаком "минус".</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По завершении текущего финансового года показатели (остатки) по соответствующим аналитическим счетам учета бюджетных ассигнований, лимитов бюджетных обязательств и утвержденных сметных (плановых, прогнозных) назначений по доходам (поступлениям), расходам (выплатам) текущего финансового года на следующий год не переносятся (Приказ Минфина РФ от 01.12.2010 г. № 157н).</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 </w:t>
      </w:r>
      <w:r>
        <w:rPr>
          <w:rFonts w:ascii="Times New Roman" w:hAnsi="Times New Roman"/>
          <w:sz w:val="24"/>
          <w:szCs w:val="24"/>
          <w:lang w:eastAsia="ru-RU"/>
        </w:rPr>
        <w:t>К счету КБК Х.303.05.000 «Расчеты по прочим платежам в бюджет» применяются дополнительные аналитические коды:</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1 – «Государственная пошлина» (КБК Х.303.15.000);</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2 – «Транспортный налог» (КБК Х.303.25.000);</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3 – «Пени, штрафы, санкции по налоговым платежам» (КБК Х.303.35.000);</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4 – «Административные штрафы, штрафы ГИБДД» (КБК Х.303.45.000);</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Акты сверки взаимных расчетов с поставщиками, подрядчиками формируются ежеквартально в зависимости от количества произведенных операций, а также на момент совершения инвентаризации в учреждении и  хранятся в отдельном деле.</w:t>
      </w:r>
    </w:p>
    <w:p>
      <w:pPr>
        <w:pStyle w:val="Normal"/>
        <w:keepNext w:val="true"/>
        <w:numPr>
          <w:ilvl w:val="0"/>
          <w:numId w:val="0"/>
        </w:numPr>
        <w:spacing w:lineRule="auto" w:line="240" w:beforeAutospacing="1" w:afterAutospacing="1"/>
        <w:ind w:left="0" w:hanging="0"/>
        <w:jc w:val="center"/>
        <w:outlineLvl w:val="0"/>
        <w:rPr>
          <w:rFonts w:ascii="Times New Roman" w:hAnsi="Times New Roman"/>
          <w:b/>
          <w:b/>
          <w:bCs/>
          <w:kern w:val="2"/>
          <w:sz w:val="24"/>
          <w:szCs w:val="24"/>
          <w:lang w:eastAsia="ru-RU"/>
        </w:rPr>
      </w:pPr>
      <w:r>
        <w:rPr>
          <w:rFonts w:ascii="Times New Roman" w:hAnsi="Times New Roman"/>
          <w:b/>
          <w:bCs/>
          <w:kern w:val="2"/>
          <w:sz w:val="24"/>
          <w:szCs w:val="24"/>
          <w:lang w:eastAsia="ru-RU"/>
        </w:rPr>
        <w:t>Порядок списания задолженностей</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Дебиторская задолженность признается сомнительной на основании решения Комиссии по поступлению и выбытию активов в случае: </w:t>
      </w:r>
    </w:p>
    <w:p>
      <w:pPr>
        <w:pStyle w:val="Normal"/>
        <w:numPr>
          <w:ilvl w:val="0"/>
          <w:numId w:val="24"/>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если с момента установленного срока ее погашения прошло более 90 календарных дней, и</w:t>
      </w:r>
    </w:p>
    <w:p>
      <w:pPr>
        <w:pStyle w:val="Normal"/>
        <w:numPr>
          <w:ilvl w:val="0"/>
          <w:numId w:val="24"/>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если в указанном периоде учреждение направляло акты сверки расчетов, но не получало подтверждения их получения.</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Сомнительная дебиторская задолженность списывается с балансового учета (п. 11 Приказа 32н). Резерв по сомнительным долгам формируется в сумме балансовой стоимости списанной дебиторской задолженности – на забалансовом счете 04 (Письма Минфина России от 26.04.2019 г. N 02-07-10/31169 и от 14.06.2019 г. N 02-07-10/43339).</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Кредиторская задолженность, признается сомнительной, а дебиторская задолженность по доходам - нереальной ко взысканию в случаях выявления:</w:t>
      </w:r>
    </w:p>
    <w:p>
      <w:pPr>
        <w:pStyle w:val="Normal"/>
        <w:numPr>
          <w:ilvl w:val="0"/>
          <w:numId w:val="12"/>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долгов, по которым истек установленный срок исковой давности (ст. 196 ГК РФ);</w:t>
      </w:r>
    </w:p>
    <w:p>
      <w:pPr>
        <w:pStyle w:val="Normal"/>
        <w:numPr>
          <w:ilvl w:val="0"/>
          <w:numId w:val="12"/>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долгов, по которым обязательство прекращено вследствие невозможности его исполнения (ст. 416 ГК РФ);</w:t>
      </w:r>
    </w:p>
    <w:p>
      <w:pPr>
        <w:pStyle w:val="Normal"/>
        <w:numPr>
          <w:ilvl w:val="0"/>
          <w:numId w:val="12"/>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долгов, по которым обязательство прекращено на основании акта органа государственной власти или органа местного самоуправления (ст. 417 ГК РФ);</w:t>
      </w:r>
    </w:p>
    <w:p>
      <w:pPr>
        <w:pStyle w:val="Normal"/>
        <w:numPr>
          <w:ilvl w:val="0"/>
          <w:numId w:val="12"/>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долгов, по которым обязательство прекращено смертью должника (ст. 418 ГК РФ);</w:t>
      </w:r>
    </w:p>
    <w:p>
      <w:pPr>
        <w:pStyle w:val="Normal"/>
        <w:numPr>
          <w:ilvl w:val="0"/>
          <w:numId w:val="12"/>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долгов, по которым обязательство прекращено ликвидацией организации (ст. 419 ГК РФ).</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При выявлении указанных долгов Инвентаризационная комиссия учреждения заполняет по ним отдельную Инвентаризационную опись (ф. 0504091 или ф. 0504089) и дает рекомендацию Руководителю о списании задолженности. </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Списание дебиторской задолженности нереальной к взысканию оформляется Решением Комиссии по поступлению и выбытию активов с забалансового счета 04 по Приказу Руководителя Учреждения. </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 xml:space="preserve">Суммы непредъявленных кредиторами требований, вытекающих из условий договора, контракта, в том числе суммы кредиторской задолженности, не подтвержденные по результатам инвентаризации кредитором, подлежат списанию на забалансовый счет 20 на основании Решения Инвентаризационной комиссии по Приказу Руководителя. </w:t>
      </w:r>
    </w:p>
    <w:p>
      <w:pPr>
        <w:pStyle w:val="Normal"/>
        <w:keepNext w:val="true"/>
        <w:numPr>
          <w:ilvl w:val="0"/>
          <w:numId w:val="0"/>
        </w:numPr>
        <w:spacing w:lineRule="auto" w:line="240" w:beforeAutospacing="1" w:afterAutospacing="1"/>
        <w:ind w:left="0" w:hanging="0"/>
        <w:jc w:val="center"/>
        <w:outlineLvl w:val="0"/>
        <w:rPr>
          <w:rFonts w:ascii="Times New Roman" w:hAnsi="Times New Roman"/>
          <w:b/>
          <w:b/>
          <w:bCs/>
          <w:kern w:val="2"/>
          <w:sz w:val="24"/>
          <w:szCs w:val="24"/>
          <w:lang w:eastAsia="ru-RU"/>
        </w:rPr>
      </w:pPr>
      <w:r>
        <w:rPr>
          <w:rFonts w:ascii="Times New Roman" w:hAnsi="Times New Roman"/>
          <w:b/>
          <w:bCs/>
          <w:kern w:val="2"/>
          <w:sz w:val="24"/>
          <w:szCs w:val="24"/>
          <w:lang w:eastAsia="ru-RU"/>
        </w:rPr>
        <w:t xml:space="preserve">       </w:t>
      </w:r>
      <w:r>
        <w:rPr>
          <w:rFonts w:ascii="Times New Roman" w:hAnsi="Times New Roman"/>
          <w:b/>
          <w:bCs/>
          <w:kern w:val="2"/>
          <w:sz w:val="24"/>
          <w:szCs w:val="24"/>
          <w:lang w:eastAsia="ru-RU"/>
        </w:rPr>
        <w:t>Отдельные виды доходов и расходов</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Учет доходов и расходов ведется раздельно по видам финансового обеспечения, по видам доходов и расходов.</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Установлен способ начисления доходов на выполнение муниципального задания в сумме утвержденных  плановых назначений на год, по субсидиям на иные цели - в сумме кассовых расходов с начала года с применением счета 205.31 и счета 205.52.</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Расходы признаются в том отчетном периоде, к которому они относятся, независимо от времени фактической выплаты денежных средств в соответствии с утвержденным Планом финансово-хозяйственной деятельности Учреждения.</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К доходам будущих периодов Учреждения, учитываемых на счете 0 40140 000 относятся:</w:t>
      </w:r>
    </w:p>
    <w:p>
      <w:pPr>
        <w:pStyle w:val="Normal"/>
        <w:numPr>
          <w:ilvl w:val="0"/>
          <w:numId w:val="23"/>
        </w:numPr>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доходы по соглашениям о предоставлении субсидий.</w:t>
      </w:r>
    </w:p>
    <w:p>
      <w:pPr>
        <w:pStyle w:val="Normal"/>
        <w:spacing w:lineRule="auto" w:line="240" w:before="0" w:after="0"/>
        <w:ind w:firstLine="540"/>
        <w:jc w:val="both"/>
        <w:rPr>
          <w:rFonts w:ascii="Times New Roman" w:hAnsi="Times New Roman"/>
          <w:sz w:val="24"/>
          <w:szCs w:val="24"/>
          <w:lang w:eastAsia="ru-RU"/>
        </w:rPr>
      </w:pPr>
      <w:r>
        <w:rPr>
          <w:rFonts w:ascii="Times New Roman" w:hAnsi="Times New Roman"/>
          <w:sz w:val="24"/>
          <w:szCs w:val="24"/>
          <w:lang w:eastAsia="ru-RU"/>
        </w:rPr>
        <w:t>Расходы будущих периодов списываются на финансовый результат текущего финансового года равномерно в течение периода, к которому они относятся.</w:t>
      </w:r>
    </w:p>
    <w:p>
      <w:pPr>
        <w:pStyle w:val="Normal"/>
        <w:keepNext w:val="true"/>
        <w:numPr>
          <w:ilvl w:val="0"/>
          <w:numId w:val="0"/>
        </w:numPr>
        <w:spacing w:lineRule="auto" w:line="240" w:beforeAutospacing="1" w:afterAutospacing="1"/>
        <w:ind w:left="0" w:hanging="0"/>
        <w:jc w:val="center"/>
        <w:outlineLvl w:val="0"/>
        <w:rPr>
          <w:rFonts w:ascii="Times New Roman" w:hAnsi="Times New Roman"/>
          <w:b/>
          <w:b/>
          <w:bCs/>
          <w:kern w:val="2"/>
          <w:sz w:val="24"/>
          <w:szCs w:val="24"/>
          <w:lang w:eastAsia="ru-RU"/>
        </w:rPr>
      </w:pPr>
      <w:r>
        <w:rPr>
          <w:rFonts w:ascii="Times New Roman" w:hAnsi="Times New Roman"/>
          <w:b/>
          <w:bCs/>
          <w:kern w:val="2"/>
          <w:sz w:val="24"/>
          <w:szCs w:val="24"/>
          <w:lang w:eastAsia="ru-RU"/>
        </w:rPr>
        <w:t>Резервы учреждения</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Резервы, создаваемые учреждением, учитываются на счетах 0 40160 000. Резерв в учреждении создается для предстоящей оплаты отпусков за фактически отработанное время, включая платежи на обязательное социальное страхование сотрудника (служащего) учреждения – по кредиту счета 0 40160 211 (213) и дебету счета 0 10900 000 .</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 xml:space="preserve">При расчете резерва Учреждение пользуется положениями Письма Минфина РФ от 20.05.2015 N 02-07-07/28998. Расчет резерва на отпуск формируется по состоянию на 31 декабря отчетного года исходя из планируемого количества дней отпуска работников учреждения в соответствующем году </w:t>
      </w:r>
      <w:bookmarkStart w:id="33" w:name="_GoBack"/>
      <w:bookmarkEnd w:id="33"/>
      <w:r>
        <w:rPr>
          <w:rFonts w:ascii="Times New Roman" w:hAnsi="Times New Roman"/>
          <w:sz w:val="24"/>
          <w:szCs w:val="24"/>
          <w:lang w:eastAsia="ru-RU"/>
        </w:rPr>
        <w:t xml:space="preserve">и средней заработной платы по учреждению в целом. </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Резерв используется только на покрытие тех затрат, в отношении которых этот резерв был изначально создан. При этом признание в учете расходов, в отношении которых сформирован резерв предстоящих расходов, осуществляется за счет суммы созданного резерва.</w:t>
      </w:r>
    </w:p>
    <w:p>
      <w:pPr>
        <w:pStyle w:val="Normal"/>
        <w:keepNext w:val="true"/>
        <w:numPr>
          <w:ilvl w:val="0"/>
          <w:numId w:val="0"/>
        </w:numPr>
        <w:spacing w:lineRule="auto" w:line="240" w:before="0" w:after="0"/>
        <w:ind w:left="0" w:firstLine="709"/>
        <w:jc w:val="center"/>
        <w:outlineLvl w:val="0"/>
        <w:rPr>
          <w:rFonts w:ascii="Times New Roman" w:hAnsi="Times New Roman"/>
          <w:b/>
          <w:b/>
          <w:bCs/>
          <w:kern w:val="2"/>
          <w:sz w:val="24"/>
          <w:szCs w:val="24"/>
          <w:lang w:eastAsia="ru-RU"/>
        </w:rPr>
      </w:pPr>
      <w:r>
        <w:rPr>
          <w:rFonts w:ascii="Times New Roman" w:hAnsi="Times New Roman"/>
          <w:b/>
          <w:bCs/>
          <w:kern w:val="2"/>
          <w:sz w:val="24"/>
          <w:szCs w:val="24"/>
          <w:lang w:eastAsia="ru-RU"/>
        </w:rPr>
        <w:t>Санкционирование расходов</w:t>
      </w:r>
    </w:p>
    <w:p>
      <w:pPr>
        <w:pStyle w:val="Normal"/>
        <w:spacing w:lineRule="auto" w:line="240" w:before="0" w:after="0"/>
        <w:ind w:firstLine="709"/>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Санкционирование расходов ведется для обобщения информации о ходе исполнения утвержденных планом финансово-хозяйственной деятельности плановых назначений, в том числе по принятию, исполнению принятых обязательств (денежных обязательств) на текущий (очередной, первый и второй год, следующий за очередным) финансовый год. </w:t>
      </w:r>
    </w:p>
    <w:p>
      <w:pPr>
        <w:pStyle w:val="Normal"/>
        <w:spacing w:lineRule="auto" w:line="240" w:before="0" w:after="0"/>
        <w:ind w:firstLine="709"/>
        <w:jc w:val="both"/>
        <w:rPr>
          <w:rFonts w:ascii="Times New Roman" w:hAnsi="Times New Roman"/>
          <w:sz w:val="24"/>
          <w:szCs w:val="24"/>
        </w:rPr>
      </w:pPr>
      <w:r>
        <w:rPr>
          <w:rFonts w:ascii="Times New Roman" w:hAnsi="Times New Roman"/>
          <w:sz w:val="24"/>
          <w:szCs w:val="24"/>
        </w:rPr>
        <w:t>Изменение плановых назначений в текущем году отражается: при увеличении – со знаком «плюс», при уменьшении – со знаком «минус».</w:t>
      </w:r>
    </w:p>
    <w:p>
      <w:pPr>
        <w:pStyle w:val="Normal"/>
        <w:spacing w:lineRule="auto" w:line="240" w:before="0" w:after="0"/>
        <w:ind w:firstLine="709"/>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Учет принятых обязательств и денежных обязательств осуществляется на основании документов, подтверждающих их принятие в размере утвержденных субсидий на выполнение муниципального задания и доходов от приносящей доход деятельность. К принятым бюджетным обязательствам текущего финансового года относятся расходные обязательства, предусмотренные к исполнению за счет соответствующего бюджета в  текущем финансовом году, в том числе принятые и неисполненные бюджетные обязательства прошлых лет, которые подлежат отражению в бюджетном учете. </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Санкционирование доходов и расходов отражаются следующими бухгалтерскими записями:</w:t>
      </w:r>
    </w:p>
    <w:p>
      <w:pPr>
        <w:pStyle w:val="13"/>
        <w:numPr>
          <w:ilvl w:val="0"/>
          <w:numId w:val="25"/>
        </w:numPr>
        <w:rPr/>
      </w:pPr>
      <w:r>
        <w:rPr/>
        <w:t xml:space="preserve">Дт 0.507.00.00                   Кт 0.504.00.00   - сумма утвержденных доходов;                             </w:t>
      </w:r>
    </w:p>
    <w:p>
      <w:pPr>
        <w:pStyle w:val="13"/>
        <w:numPr>
          <w:ilvl w:val="0"/>
          <w:numId w:val="25"/>
        </w:numPr>
        <w:rPr/>
      </w:pPr>
      <w:r>
        <w:rPr/>
        <w:t xml:space="preserve">Дт 0.504.00.00                   Кт 0.506.00.00    - сумма утвержденных расходов;                            </w:t>
      </w:r>
    </w:p>
    <w:p>
      <w:pPr>
        <w:pStyle w:val="13"/>
        <w:numPr>
          <w:ilvl w:val="0"/>
          <w:numId w:val="25"/>
        </w:numPr>
        <w:spacing w:before="0" w:after="0"/>
        <w:contextualSpacing/>
        <w:rPr/>
      </w:pPr>
      <w:r>
        <w:rPr/>
        <w:t>Дт 0.508.00.00                   Кт 0.507.00.00    - сумма полученного финансового обеспечения;</w:t>
      </w:r>
    </w:p>
    <w:p>
      <w:pPr>
        <w:pStyle w:val="13"/>
        <w:numPr>
          <w:ilvl w:val="0"/>
          <w:numId w:val="25"/>
        </w:numPr>
        <w:spacing w:before="0" w:after="0"/>
        <w:contextualSpacing/>
        <w:rPr/>
      </w:pPr>
      <w:r>
        <w:rPr/>
        <w:t>Дт 0.506.00.00                   Кт 0.502.01.00    - сумма принятых обязательств;</w:t>
      </w:r>
    </w:p>
    <w:p>
      <w:pPr>
        <w:pStyle w:val="13"/>
        <w:numPr>
          <w:ilvl w:val="0"/>
          <w:numId w:val="25"/>
        </w:numPr>
        <w:spacing w:before="0" w:after="0"/>
        <w:contextualSpacing/>
        <w:rPr/>
      </w:pPr>
      <w:r>
        <w:rPr/>
        <w:t>Дт 0.502.01.00                   Кт 0.502.02.00    - сумма принятых денежных обязательств.</w:t>
      </w:r>
    </w:p>
    <w:p>
      <w:pPr>
        <w:pStyle w:val="13"/>
        <w:numPr>
          <w:ilvl w:val="0"/>
          <w:numId w:val="25"/>
        </w:numPr>
        <w:spacing w:before="0" w:after="0"/>
        <w:contextualSpacing/>
        <w:rPr/>
      </w:pPr>
      <w:r>
        <w:rPr/>
        <w:t>Дт 0.502.99.00                   Кт 0.502.11.00    - сумма принятых обязательств по резервам отпусков и др.</w:t>
      </w:r>
    </w:p>
    <w:p>
      <w:pPr>
        <w:pStyle w:val="13"/>
        <w:numPr>
          <w:ilvl w:val="0"/>
          <w:numId w:val="25"/>
        </w:numPr>
        <w:spacing w:before="0" w:afterAutospacing="1"/>
        <w:contextualSpacing/>
        <w:rPr/>
      </w:pPr>
      <w:r>
        <w:rPr/>
        <w:t>Дт 0.502.11.00                   Кт 0.502.99.00    - списание сумм принятых обязательств по резервам отпусков и др.</w:t>
      </w:r>
    </w:p>
    <w:p>
      <w:pPr>
        <w:pStyle w:val="13"/>
        <w:spacing w:beforeAutospacing="1" w:afterAutospacing="1"/>
        <w:contextualSpacing/>
        <w:rPr/>
      </w:pPr>
      <w:r>
        <w:rPr/>
        <w:t>Общий порядок отражения в бухгалтерском учете операций по получению ими бюджетных субсидий и целевой финансовое обеспечение указано в таблице:</w:t>
      </w:r>
    </w:p>
    <w:p>
      <w:pPr>
        <w:pStyle w:val="13"/>
        <w:spacing w:beforeAutospacing="1" w:afterAutospacing="1"/>
        <w:ind w:left="720" w:hanging="0"/>
        <w:contextualSpacing/>
        <w:rPr/>
      </w:pPr>
      <w:r>
        <w:rPr/>
      </w:r>
    </w:p>
    <w:tbl>
      <w:tblPr>
        <w:tblW w:w="9962" w:type="dxa"/>
        <w:jc w:val="left"/>
        <w:tblInd w:w="0" w:type="dxa"/>
        <w:tblLayout w:type="fixed"/>
        <w:tblCellMar>
          <w:top w:w="0" w:type="dxa"/>
          <w:left w:w="108" w:type="dxa"/>
          <w:bottom w:w="0" w:type="dxa"/>
          <w:right w:w="108" w:type="dxa"/>
        </w:tblCellMar>
        <w:tblLook w:val="00a0"/>
      </w:tblPr>
      <w:tblGrid>
        <w:gridCol w:w="3932"/>
        <w:gridCol w:w="1566"/>
        <w:gridCol w:w="1548"/>
        <w:gridCol w:w="2915"/>
      </w:tblGrid>
      <w:tr>
        <w:trPr/>
        <w:tc>
          <w:tcPr>
            <w:tcW w:w="3932" w:type="dxa"/>
            <w:vMerge w:val="restart"/>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t>Содержание операции</w:t>
            </w:r>
          </w:p>
        </w:tc>
        <w:tc>
          <w:tcPr>
            <w:tcW w:w="3114" w:type="dxa"/>
            <w:gridSpan w:val="2"/>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t>Бухгалтерские проводки</w:t>
            </w:r>
          </w:p>
        </w:tc>
        <w:tc>
          <w:tcPr>
            <w:tcW w:w="2915"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t>Примечания</w:t>
            </w:r>
          </w:p>
        </w:tc>
      </w:tr>
      <w:tr>
        <w:trPr/>
        <w:tc>
          <w:tcPr>
            <w:tcW w:w="3932" w:type="dxa"/>
            <w:vMerge w:val="continue"/>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r>
          </w:p>
        </w:tc>
        <w:tc>
          <w:tcPr>
            <w:tcW w:w="1566"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t>Дебет</w:t>
            </w:r>
          </w:p>
        </w:tc>
        <w:tc>
          <w:tcPr>
            <w:tcW w:w="1548"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t>Кредит</w:t>
            </w:r>
          </w:p>
        </w:tc>
        <w:tc>
          <w:tcPr>
            <w:tcW w:w="2915"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r>
          </w:p>
        </w:tc>
      </w:tr>
      <w:tr>
        <w:trPr/>
        <w:tc>
          <w:tcPr>
            <w:tcW w:w="9961" w:type="dxa"/>
            <w:gridSpan w:val="4"/>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t>Назначение и получение бюджетных субсидий и их учет в составе утвержденных бюджетным учреждением</w:t>
            </w:r>
          </w:p>
        </w:tc>
      </w:tr>
      <w:tr>
        <w:trPr/>
        <w:tc>
          <w:tcPr>
            <w:tcW w:w="3932"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t>Утверждены размеры бюджетных субсидий для бюджетного учреждения, а также смета его доходов и расходов (финансовый план):</w:t>
            </w:r>
          </w:p>
        </w:tc>
        <w:tc>
          <w:tcPr>
            <w:tcW w:w="1566"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r>
          </w:p>
        </w:tc>
        <w:tc>
          <w:tcPr>
            <w:tcW w:w="1548"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r>
          </w:p>
        </w:tc>
        <w:tc>
          <w:tcPr>
            <w:tcW w:w="2915"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t>Бухгалтерские проводки формируются на основании:</w:t>
            </w:r>
          </w:p>
        </w:tc>
      </w:tr>
      <w:tr>
        <w:trPr/>
        <w:tc>
          <w:tcPr>
            <w:tcW w:w="3932"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t>- на обеспечение выполнения доведенного до него государственного (муниципального) задания</w:t>
            </w:r>
          </w:p>
        </w:tc>
        <w:tc>
          <w:tcPr>
            <w:tcW w:w="1566"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t>4 205 31 561</w:t>
            </w:r>
          </w:p>
        </w:tc>
        <w:tc>
          <w:tcPr>
            <w:tcW w:w="1548"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t>4 401 10 131</w:t>
            </w:r>
          </w:p>
        </w:tc>
        <w:tc>
          <w:tcPr>
            <w:tcW w:w="2915"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t>- соглашение о выделении бюджетных субсидий под выполнение государственного (муниципального) задания;</w:t>
            </w:r>
          </w:p>
        </w:tc>
      </w:tr>
      <w:tr>
        <w:trPr/>
        <w:tc>
          <w:tcPr>
            <w:tcW w:w="3932"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t>- на прочие цели</w:t>
            </w:r>
          </w:p>
        </w:tc>
        <w:tc>
          <w:tcPr>
            <w:tcW w:w="1566"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t>5 205 52 561</w:t>
            </w:r>
          </w:p>
        </w:tc>
        <w:tc>
          <w:tcPr>
            <w:tcW w:w="1548"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t>5 401 10 152</w:t>
            </w:r>
          </w:p>
        </w:tc>
        <w:tc>
          <w:tcPr>
            <w:tcW w:w="2915"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t>-соглашение на иные цели</w:t>
            </w:r>
          </w:p>
        </w:tc>
      </w:tr>
      <w:tr>
        <w:trPr/>
        <w:tc>
          <w:tcPr>
            <w:tcW w:w="3932"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t>Получены на лицевой счет суммы выделенных учреждению бюджетных субсидий:</w:t>
            </w:r>
          </w:p>
        </w:tc>
        <w:tc>
          <w:tcPr>
            <w:tcW w:w="1566"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highlight w:val="yellow"/>
              </w:rPr>
            </w:pPr>
            <w:r>
              <w:rPr>
                <w:highlight w:val="yellow"/>
              </w:rPr>
            </w:r>
          </w:p>
        </w:tc>
        <w:tc>
          <w:tcPr>
            <w:tcW w:w="1548"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highlight w:val="yellow"/>
              </w:rPr>
            </w:pPr>
            <w:r>
              <w:rPr>
                <w:highlight w:val="yellow"/>
              </w:rPr>
            </w:r>
          </w:p>
        </w:tc>
        <w:tc>
          <w:tcPr>
            <w:tcW w:w="2915"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r>
          </w:p>
        </w:tc>
      </w:tr>
      <w:tr>
        <w:trPr/>
        <w:tc>
          <w:tcPr>
            <w:tcW w:w="3932"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t>- на обеспечение выполнения доведенного до него государственного (муниципального) задания</w:t>
            </w:r>
          </w:p>
        </w:tc>
        <w:tc>
          <w:tcPr>
            <w:tcW w:w="1566"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t>4 201 11 510</w:t>
            </w:r>
          </w:p>
        </w:tc>
        <w:tc>
          <w:tcPr>
            <w:tcW w:w="1548"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t>4 205 31 661</w:t>
            </w:r>
          </w:p>
        </w:tc>
        <w:tc>
          <w:tcPr>
            <w:tcW w:w="2915"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r>
          </w:p>
        </w:tc>
      </w:tr>
      <w:tr>
        <w:trPr/>
        <w:tc>
          <w:tcPr>
            <w:tcW w:w="3932"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t>- на прочие цели</w:t>
            </w:r>
          </w:p>
        </w:tc>
        <w:tc>
          <w:tcPr>
            <w:tcW w:w="1566"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t>5 201 11 510</w:t>
            </w:r>
          </w:p>
        </w:tc>
        <w:tc>
          <w:tcPr>
            <w:tcW w:w="1548"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t>5 205 52 661</w:t>
            </w:r>
          </w:p>
        </w:tc>
        <w:tc>
          <w:tcPr>
            <w:tcW w:w="2915" w:type="dxa"/>
            <w:tcBorders>
              <w:top w:val="single" w:sz="4" w:space="0" w:color="000000"/>
              <w:left w:val="single" w:sz="4" w:space="0" w:color="000000"/>
              <w:bottom w:val="single" w:sz="4" w:space="0" w:color="000000"/>
              <w:right w:val="single" w:sz="4" w:space="0" w:color="000000"/>
            </w:tcBorders>
          </w:tcPr>
          <w:p>
            <w:pPr>
              <w:pStyle w:val="13"/>
              <w:widowControl w:val="false"/>
              <w:spacing w:beforeAutospacing="1" w:after="0"/>
              <w:ind w:left="0" w:hanging="0"/>
              <w:contextualSpacing/>
              <w:rPr/>
            </w:pPr>
            <w:r>
              <w:rPr/>
            </w:r>
          </w:p>
        </w:tc>
      </w:tr>
    </w:tbl>
    <w:p>
      <w:pPr>
        <w:pStyle w:val="Normal"/>
        <w:keepNext w:val="true"/>
        <w:numPr>
          <w:ilvl w:val="0"/>
          <w:numId w:val="0"/>
        </w:numPr>
        <w:spacing w:lineRule="auto" w:line="240" w:beforeAutospacing="1" w:afterAutospacing="1"/>
        <w:ind w:left="0" w:hanging="0"/>
        <w:jc w:val="center"/>
        <w:outlineLvl w:val="0"/>
        <w:rPr>
          <w:rFonts w:ascii="Times New Roman" w:hAnsi="Times New Roman"/>
          <w:b/>
          <w:b/>
          <w:bCs/>
          <w:kern w:val="2"/>
          <w:sz w:val="24"/>
          <w:szCs w:val="24"/>
          <w:lang w:eastAsia="ru-RU"/>
        </w:rPr>
      </w:pPr>
      <w:r>
        <w:rPr>
          <w:rFonts w:ascii="Times New Roman" w:hAnsi="Times New Roman"/>
          <w:b/>
          <w:bCs/>
          <w:kern w:val="2"/>
          <w:sz w:val="24"/>
          <w:szCs w:val="24"/>
          <w:lang w:eastAsia="ru-RU"/>
        </w:rPr>
        <w:t>Применение отдельных видов забалансовых счетов</w:t>
      </w:r>
    </w:p>
    <w:p>
      <w:pPr>
        <w:pStyle w:val="Normal"/>
        <w:widowControl w:val="false"/>
        <w:spacing w:lineRule="auto" w:line="240" w:before="0" w:after="0"/>
        <w:ind w:firstLine="709"/>
        <w:jc w:val="both"/>
        <w:rPr>
          <w:rFonts w:ascii="Times New Roman" w:hAnsi="Times New Roman"/>
          <w:sz w:val="24"/>
          <w:szCs w:val="24"/>
        </w:rPr>
      </w:pPr>
      <w:r>
        <w:rPr>
          <w:rFonts w:ascii="Times New Roman" w:hAnsi="Times New Roman"/>
          <w:sz w:val="24"/>
          <w:szCs w:val="24"/>
        </w:rPr>
        <w:t xml:space="preserve">Для отражения показателей в Справке о наличии имущества и обязательств на забалансовых счетах в составе Баланса </w:t>
      </w:r>
      <w:hyperlink r:id="rId4">
        <w:r>
          <w:rPr>
            <w:rFonts w:ascii="Times New Roman" w:hAnsi="Times New Roman"/>
            <w:sz w:val="24"/>
            <w:szCs w:val="24"/>
          </w:rPr>
          <w:t>(ф. 0503730)</w:t>
        </w:r>
      </w:hyperlink>
      <w:r>
        <w:rPr>
          <w:rFonts w:ascii="Times New Roman" w:hAnsi="Times New Roman"/>
          <w:sz w:val="24"/>
          <w:szCs w:val="24"/>
        </w:rPr>
        <w:t xml:space="preserve"> и Сведений о движении нефинансовых активов учреждения </w:t>
      </w:r>
      <w:hyperlink r:id="rId5">
        <w:r>
          <w:rPr>
            <w:rFonts w:ascii="Times New Roman" w:hAnsi="Times New Roman"/>
            <w:sz w:val="24"/>
            <w:szCs w:val="24"/>
          </w:rPr>
          <w:t>(ф. 0503768)</w:t>
        </w:r>
      </w:hyperlink>
      <w:r>
        <w:rPr>
          <w:rFonts w:ascii="Times New Roman" w:hAnsi="Times New Roman"/>
          <w:sz w:val="24"/>
          <w:szCs w:val="24"/>
        </w:rPr>
        <w:t xml:space="preserve"> учет на забалансовых счетах ведется в разрезе кодов вида финансового обеспечения (деятельности):</w:t>
      </w:r>
    </w:p>
    <w:p>
      <w:pPr>
        <w:pStyle w:val="Normal"/>
        <w:widowControl w:val="false"/>
        <w:spacing w:lineRule="auto" w:line="240" w:before="0" w:after="0"/>
        <w:ind w:firstLine="709"/>
        <w:jc w:val="both"/>
        <w:rPr>
          <w:rFonts w:ascii="Times New Roman" w:hAnsi="Times New Roman"/>
          <w:sz w:val="24"/>
          <w:szCs w:val="24"/>
        </w:rPr>
      </w:pPr>
      <w:hyperlink r:id="rId6">
        <w:r>
          <w:rPr>
            <w:rFonts w:ascii="Times New Roman" w:hAnsi="Times New Roman"/>
            <w:sz w:val="24"/>
            <w:szCs w:val="24"/>
          </w:rPr>
          <w:t>"2"</w:t>
        </w:r>
      </w:hyperlink>
      <w:r>
        <w:rPr>
          <w:rFonts w:ascii="Times New Roman" w:hAnsi="Times New Roman"/>
          <w:sz w:val="24"/>
          <w:szCs w:val="24"/>
        </w:rPr>
        <w:t xml:space="preserve"> - приносящая доход деятельность (собственные доходы учреждения);</w:t>
      </w:r>
    </w:p>
    <w:p>
      <w:pPr>
        <w:pStyle w:val="Normal"/>
        <w:widowControl w:val="false"/>
        <w:spacing w:lineRule="auto" w:line="240" w:before="0" w:after="0"/>
        <w:ind w:firstLine="709"/>
        <w:jc w:val="both"/>
        <w:rPr>
          <w:rFonts w:ascii="Times New Roman" w:hAnsi="Times New Roman"/>
          <w:sz w:val="24"/>
          <w:szCs w:val="24"/>
        </w:rPr>
      </w:pPr>
      <w:hyperlink r:id="rId7">
        <w:r>
          <w:rPr>
            <w:rFonts w:ascii="Times New Roman" w:hAnsi="Times New Roman"/>
            <w:sz w:val="24"/>
            <w:szCs w:val="24"/>
          </w:rPr>
          <w:t>"4"</w:t>
        </w:r>
      </w:hyperlink>
      <w:r>
        <w:rPr>
          <w:rFonts w:ascii="Times New Roman" w:hAnsi="Times New Roman"/>
          <w:sz w:val="24"/>
          <w:szCs w:val="24"/>
        </w:rPr>
        <w:t xml:space="preserve"> - субсидия на выполнение государственного (муниципального) задания;</w:t>
      </w:r>
    </w:p>
    <w:p>
      <w:pPr>
        <w:pStyle w:val="Normal"/>
        <w:widowControl w:val="false"/>
        <w:spacing w:lineRule="auto" w:line="240" w:before="0" w:after="0"/>
        <w:ind w:firstLine="709"/>
        <w:jc w:val="both"/>
        <w:rPr>
          <w:rFonts w:ascii="Times New Roman" w:hAnsi="Times New Roman"/>
          <w:sz w:val="24"/>
          <w:szCs w:val="24"/>
        </w:rPr>
      </w:pPr>
      <w:hyperlink r:id="rId8">
        <w:r>
          <w:rPr>
            <w:rFonts w:ascii="Times New Roman" w:hAnsi="Times New Roman"/>
            <w:sz w:val="24"/>
            <w:szCs w:val="24"/>
          </w:rPr>
          <w:t>"5"</w:t>
        </w:r>
      </w:hyperlink>
      <w:r>
        <w:rPr>
          <w:rFonts w:ascii="Times New Roman" w:hAnsi="Times New Roman"/>
          <w:sz w:val="24"/>
          <w:szCs w:val="24"/>
        </w:rPr>
        <w:t xml:space="preserve"> - субсидии на иные цели;</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 xml:space="preserve">На счете 01 «Имущество, полученное в пользование» подлежит учету: </w:t>
      </w:r>
    </w:p>
    <w:p>
      <w:pPr>
        <w:pStyle w:val="Normal"/>
        <w:numPr>
          <w:ilvl w:val="0"/>
          <w:numId w:val="13"/>
        </w:numPr>
        <w:spacing w:lineRule="auto" w:line="240" w:before="0" w:after="0"/>
        <w:ind w:left="0" w:firstLine="709"/>
        <w:jc w:val="both"/>
        <w:rPr>
          <w:rFonts w:ascii="Times New Roman" w:hAnsi="Times New Roman"/>
          <w:sz w:val="24"/>
          <w:szCs w:val="24"/>
          <w:lang w:eastAsia="ru-RU"/>
        </w:rPr>
      </w:pPr>
      <w:r>
        <w:rPr>
          <w:rFonts w:ascii="Times New Roman" w:hAnsi="Times New Roman"/>
          <w:color w:val="333333"/>
          <w:sz w:val="24"/>
          <w:szCs w:val="24"/>
          <w:shd w:fill="FFFFFF" w:val="clear"/>
        </w:rPr>
        <w:t>Имущество,</w:t>
      </w:r>
      <w:r>
        <w:rPr>
          <w:rFonts w:ascii="Times New Roman" w:hAnsi="Times New Roman"/>
          <w:sz w:val="24"/>
          <w:szCs w:val="24"/>
          <w:lang w:eastAsia="ru-RU"/>
        </w:rPr>
        <w:t xml:space="preserve"> </w:t>
      </w:r>
      <w:r>
        <w:rPr>
          <w:rFonts w:ascii="Times New Roman" w:hAnsi="Times New Roman"/>
          <w:color w:val="333333"/>
          <w:sz w:val="24"/>
          <w:szCs w:val="24"/>
          <w:shd w:fill="FFFFFF" w:val="clear"/>
        </w:rPr>
        <w:t>полученное учреждением в пользование, не являющееся объектом аренды</w:t>
      </w:r>
      <w:r>
        <w:rPr>
          <w:rFonts w:ascii="Times New Roman" w:hAnsi="Times New Roman"/>
          <w:sz w:val="24"/>
          <w:szCs w:val="24"/>
          <w:lang w:eastAsia="ru-RU"/>
        </w:rPr>
        <w:t xml:space="preserve"> </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lang w:eastAsia="ru-RU"/>
        </w:rPr>
        <w:t>На счете 02 «Материальные ценности, принятые (принимаемые) на хранение» подлежат учету:</w:t>
      </w:r>
      <w:r>
        <w:rPr>
          <w:rFonts w:ascii="Times New Roman" w:hAnsi="Times New Roman"/>
          <w:sz w:val="24"/>
          <w:szCs w:val="24"/>
        </w:rPr>
        <w:t xml:space="preserve"> </w:t>
      </w:r>
    </w:p>
    <w:p>
      <w:pPr>
        <w:pStyle w:val="Normal"/>
        <w:numPr>
          <w:ilvl w:val="0"/>
          <w:numId w:val="13"/>
        </w:numPr>
        <w:spacing w:lineRule="auto" w:line="240" w:before="0" w:after="0"/>
        <w:ind w:left="0" w:firstLine="709"/>
        <w:rPr>
          <w:rFonts w:ascii="Times New Roman" w:hAnsi="Times New Roman"/>
          <w:sz w:val="24"/>
          <w:szCs w:val="24"/>
        </w:rPr>
      </w:pPr>
      <w:r>
        <w:rPr>
          <w:rFonts w:ascii="Times New Roman" w:hAnsi="Times New Roman"/>
          <w:sz w:val="24"/>
          <w:szCs w:val="24"/>
        </w:rPr>
        <w:t>Имущество, полученное учреждением от родителей или опекунов на период посещения ребенком детского сада,  учитывается на забалансовом счете 02 «материальные ценности, принятые на хранение»  в условной оценке: один объект, один рубль. Учет ведется по простой (униграфической) системе. Забалансовый счет либо дебетуется при постановке на учет активов, либо кредитуется при списании их с учета. Первичным документом является заявление родителя или опекуна ребенка.</w:t>
      </w:r>
    </w:p>
    <w:p>
      <w:pPr>
        <w:pStyle w:val="Normal"/>
        <w:numPr>
          <w:ilvl w:val="0"/>
          <w:numId w:val="13"/>
        </w:numPr>
        <w:spacing w:lineRule="auto" w:line="240" w:before="0" w:after="0"/>
        <w:ind w:left="0" w:firstLine="709"/>
        <w:rPr>
          <w:rFonts w:ascii="Times New Roman" w:hAnsi="Times New Roman"/>
          <w:sz w:val="24"/>
          <w:szCs w:val="24"/>
        </w:rPr>
      </w:pPr>
      <w:r>
        <w:rPr>
          <w:rFonts w:ascii="Times New Roman" w:hAnsi="Times New Roman"/>
          <w:sz w:val="24"/>
          <w:szCs w:val="24"/>
        </w:rPr>
        <w:t>Материальные объекты нефинансовых активов, полученные учреждением в безвозмездное или возмездное пользование, учитываются учреждением на забалансовом счете по стоимости, указанной собственником (балансодержателем) имущества, а в случаях неуказания собственником (балансодержателем) стоимости - в условной оценке: один объект, один рубль Учет материальных ценностей, принятых на хранение, ведется обособленно по видам имущества с применением дополнительных кодов к забалансовому счету 02 «Материальные ценности, принятые на хранение». Раздельный учет обеспечивается в разрезе:</w:t>
      </w:r>
    </w:p>
    <w:p>
      <w:pPr>
        <w:pStyle w:val="ListParagraph"/>
        <w:spacing w:lineRule="auto" w:line="240" w:before="0" w:after="0"/>
        <w:ind w:left="0" w:firstLine="709"/>
        <w:contextualSpacing/>
        <w:rPr>
          <w:rFonts w:ascii="Times New Roman" w:hAnsi="Times New Roman"/>
          <w:sz w:val="24"/>
          <w:szCs w:val="24"/>
        </w:rPr>
      </w:pPr>
      <w:r>
        <w:rPr>
          <w:rFonts w:ascii="Times New Roman" w:hAnsi="Times New Roman"/>
          <w:sz w:val="24"/>
          <w:szCs w:val="24"/>
        </w:rPr>
        <w:t>-имущества, которое учреждение решило списать и которое числится за балансом до момента его демонтажа, утилизации, уничтожения, – на забалансовом счете 02.1;</w:t>
      </w:r>
    </w:p>
    <w:p>
      <w:pPr>
        <w:pStyle w:val="ListParagraph"/>
        <w:spacing w:lineRule="auto" w:line="240" w:before="0" w:after="0"/>
        <w:ind w:left="0" w:firstLine="709"/>
        <w:contextualSpacing/>
        <w:rPr>
          <w:rFonts w:ascii="Times New Roman" w:hAnsi="Times New Roman"/>
          <w:sz w:val="24"/>
          <w:szCs w:val="24"/>
        </w:rPr>
      </w:pPr>
      <w:r>
        <w:rPr>
          <w:rFonts w:ascii="Times New Roman" w:hAnsi="Times New Roman"/>
          <w:sz w:val="24"/>
          <w:szCs w:val="24"/>
        </w:rPr>
        <w:t>-другого имущества, принятого на ответственное хранение, – на забалансовом счете 02.2.</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 xml:space="preserve">На счете 03 «Бланки строгой отчетности» подлежат учету в момент выдачи ответственному сотруднику: </w:t>
      </w:r>
    </w:p>
    <w:p>
      <w:pPr>
        <w:pStyle w:val="Normal"/>
        <w:numPr>
          <w:ilvl w:val="0"/>
          <w:numId w:val="14"/>
        </w:numPr>
        <w:spacing w:lineRule="auto" w:line="240" w:before="0" w:after="0"/>
        <w:ind w:left="0" w:firstLine="709"/>
        <w:jc w:val="both"/>
        <w:rPr>
          <w:rFonts w:ascii="Times New Roman" w:hAnsi="Times New Roman"/>
          <w:sz w:val="24"/>
          <w:szCs w:val="24"/>
          <w:lang w:eastAsia="ru-RU"/>
        </w:rPr>
      </w:pPr>
      <w:r>
        <w:rPr>
          <w:rFonts w:ascii="Times New Roman" w:hAnsi="Times New Roman"/>
          <w:sz w:val="24"/>
          <w:szCs w:val="24"/>
          <w:lang w:eastAsia="ru-RU"/>
        </w:rPr>
        <w:t>Бланки трудовых книжек</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 xml:space="preserve">Бланки трудовых книжек учитываются по цене приобретения. Иные бланки строгой отчетности отражать забалансовом счете с детализацией по местам использования или хранения в условной оценке - один рубль за один бланк. </w:t>
      </w:r>
    </w:p>
    <w:p>
      <w:pPr>
        <w:pStyle w:val="Normal"/>
        <w:spacing w:lineRule="auto" w:line="240" w:before="0" w:after="0"/>
        <w:ind w:firstLine="709"/>
        <w:jc w:val="both"/>
        <w:rPr>
          <w:rFonts w:ascii="Times New Roman" w:hAnsi="Times New Roman"/>
          <w:color w:val="333333"/>
          <w:sz w:val="24"/>
          <w:szCs w:val="24"/>
          <w:shd w:fill="FFFFFF" w:val="clear"/>
        </w:rPr>
      </w:pPr>
      <w:r>
        <w:rPr>
          <w:rFonts w:ascii="Times New Roman" w:hAnsi="Times New Roman"/>
          <w:bCs/>
          <w:color w:val="333333"/>
          <w:sz w:val="24"/>
          <w:szCs w:val="24"/>
          <w:shd w:fill="FFFFFF" w:val="clear"/>
        </w:rPr>
        <w:t>Счет 17 "Поступления денежных средств"</w:t>
      </w:r>
      <w:r>
        <w:rPr>
          <w:rFonts w:ascii="Times New Roman" w:hAnsi="Times New Roman"/>
          <w:color w:val="333333"/>
          <w:sz w:val="24"/>
          <w:szCs w:val="24"/>
          <w:shd w:fill="FFFFFF" w:val="clear"/>
        </w:rPr>
        <w:t xml:space="preserve"> предназначен для аналитического учета поступлений денежных средств введен к счетам 020100000 "Денежные средства учреждения", 021003000 "Расчеты с финансовым органом по наличным денежным средствам", 030406000 "Расчеты с прочими кредиторами" (в части денежных расчетов)</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bCs/>
          <w:color w:val="333333"/>
          <w:sz w:val="24"/>
          <w:szCs w:val="24"/>
          <w:shd w:fill="FFFFFF" w:val="clear"/>
        </w:rPr>
        <w:t>Счет 18 "Выбытия денежных средств"</w:t>
      </w:r>
      <w:r>
        <w:rPr>
          <w:rFonts w:ascii="Times New Roman" w:hAnsi="Times New Roman"/>
          <w:color w:val="333333"/>
          <w:sz w:val="24"/>
          <w:szCs w:val="24"/>
          <w:shd w:fill="FFFFFF" w:val="clear"/>
        </w:rPr>
        <w:t xml:space="preserve"> предназначен для аналитического учета выбытий денежных средств, введен к счету 020100000 "Денежные средства учреждения", 021003000 "Расчеты с финансовым органом по наличным денежным средствам", 030406000 "Расчеты с прочими кредиторами" (в части денежных расчетов)</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 xml:space="preserve">На счете 20 «Задолженность, невостребованная кредиторами» учитываются суммы просроченной задолженности, не востребованной кредиторами, списанные с баланса на основании решения Инвентаризационной комиссии. </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 xml:space="preserve">Для целей составления отчетности, задолженность невостребованная кредиторами на счете 20 группируется в следующем порядке: </w:t>
      </w:r>
    </w:p>
    <w:p>
      <w:pPr>
        <w:pStyle w:val="Normal"/>
        <w:numPr>
          <w:ilvl w:val="0"/>
          <w:numId w:val="15"/>
        </w:numPr>
        <w:spacing w:lineRule="auto" w:line="240" w:before="0" w:after="0"/>
        <w:ind w:left="0" w:firstLine="709"/>
        <w:jc w:val="both"/>
        <w:rPr>
          <w:rFonts w:ascii="Times New Roman" w:hAnsi="Times New Roman"/>
          <w:sz w:val="24"/>
          <w:szCs w:val="24"/>
          <w:lang w:eastAsia="ru-RU"/>
        </w:rPr>
      </w:pPr>
      <w:r>
        <w:rPr>
          <w:rFonts w:ascii="Times New Roman" w:hAnsi="Times New Roman"/>
          <w:sz w:val="24"/>
          <w:szCs w:val="24"/>
          <w:lang w:eastAsia="ru-RU"/>
        </w:rPr>
        <w:t>задолженность по крупным сделкам;</w:t>
      </w:r>
    </w:p>
    <w:p>
      <w:pPr>
        <w:pStyle w:val="Normal"/>
        <w:numPr>
          <w:ilvl w:val="0"/>
          <w:numId w:val="15"/>
        </w:numPr>
        <w:spacing w:lineRule="auto" w:line="240" w:before="0" w:after="0"/>
        <w:ind w:left="0" w:firstLine="709"/>
        <w:jc w:val="both"/>
        <w:rPr>
          <w:rFonts w:ascii="Times New Roman" w:hAnsi="Times New Roman"/>
          <w:sz w:val="24"/>
          <w:szCs w:val="24"/>
          <w:lang w:eastAsia="ru-RU"/>
        </w:rPr>
      </w:pPr>
      <w:r>
        <w:rPr>
          <w:rFonts w:ascii="Times New Roman" w:hAnsi="Times New Roman"/>
          <w:sz w:val="24"/>
          <w:szCs w:val="24"/>
          <w:lang w:eastAsia="ru-RU"/>
        </w:rPr>
        <w:t>задолженность по сделкам с заинтересованностью;</w:t>
      </w:r>
    </w:p>
    <w:p>
      <w:pPr>
        <w:pStyle w:val="Normal"/>
        <w:numPr>
          <w:ilvl w:val="0"/>
          <w:numId w:val="15"/>
        </w:numPr>
        <w:spacing w:lineRule="auto" w:line="240" w:before="0" w:after="0"/>
        <w:ind w:left="0" w:firstLine="709"/>
        <w:jc w:val="both"/>
        <w:rPr>
          <w:rFonts w:ascii="Times New Roman" w:hAnsi="Times New Roman"/>
          <w:sz w:val="24"/>
          <w:szCs w:val="24"/>
          <w:lang w:eastAsia="ru-RU"/>
        </w:rPr>
      </w:pPr>
      <w:r>
        <w:rPr>
          <w:rFonts w:ascii="Times New Roman" w:hAnsi="Times New Roman"/>
          <w:sz w:val="24"/>
          <w:szCs w:val="24"/>
          <w:lang w:eastAsia="ru-RU"/>
        </w:rPr>
        <w:t>задолженность по прочим сделкам.</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 xml:space="preserve">Списание задолженности осуществляется на основании решения инвентаризационной комиссии учреждения </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На счете 21 «Основные средства в эксплуатации» учитываются находящиеся в эксплуатации объекты основных средств стоимостью до 10.000 руб. включительно, за исключением объектов библиотечного фонда и объектов недвижимого имущества.</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 xml:space="preserve">Учет ведется по балансовой стоимости введенного в эксплуатацию объекта. </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Документом о списании объектов с забалансового счета является Акт о списании объектов нефинансовых активов (кроме транспортных средств) (ф. 0504104)</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bCs/>
          <w:color w:val="333333"/>
          <w:sz w:val="24"/>
          <w:szCs w:val="24"/>
          <w:shd w:fill="FFFFFF" w:val="clear"/>
        </w:rPr>
        <w:t>Счет 26 "Имущество, переданное в безвозмездное пользование"</w:t>
      </w:r>
      <w:r>
        <w:rPr>
          <w:rFonts w:ascii="Times New Roman" w:hAnsi="Times New Roman"/>
          <w:color w:val="333333"/>
          <w:sz w:val="24"/>
          <w:szCs w:val="24"/>
          <w:shd w:fill="FFFFFF" w:val="clear"/>
        </w:rPr>
        <w:t xml:space="preserve"> предназначен для учета данных об объектах аренды на льготных условиях, а также о предоставленном (переданном) в безвозмездное пользование без закрепления права оперативного управления, в том числе в случаях, предусмотренных законодательством Российской Федерации, имуществе, для обеспечения надлежащего контроля за его сохранностью, целевым использованием и движением.</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 xml:space="preserve">На счете 27 «Материальные ценности, выданные в личное пользование работникам (сотрудникам)» учитываются объекты, списанные с балансового счета 0 10500 000 в момент выдачи в личное пользование. </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 xml:space="preserve">С целью контроля за расходованием материальных запасов установить следующие категории имущества, подлежащего выдаче в личное пользование: </w:t>
      </w:r>
    </w:p>
    <w:p>
      <w:pPr>
        <w:pStyle w:val="Normal"/>
        <w:numPr>
          <w:ilvl w:val="0"/>
          <w:numId w:val="16"/>
        </w:numPr>
        <w:spacing w:lineRule="auto" w:line="240" w:before="0" w:after="0"/>
        <w:ind w:left="0" w:firstLine="709"/>
        <w:jc w:val="both"/>
        <w:rPr>
          <w:rFonts w:ascii="Times New Roman" w:hAnsi="Times New Roman"/>
          <w:sz w:val="24"/>
          <w:szCs w:val="24"/>
          <w:lang w:eastAsia="ru-RU"/>
        </w:rPr>
      </w:pPr>
      <w:r>
        <w:rPr>
          <w:rFonts w:ascii="Times New Roman" w:hAnsi="Times New Roman"/>
          <w:sz w:val="24"/>
          <w:szCs w:val="24"/>
          <w:lang w:eastAsia="ru-RU"/>
        </w:rPr>
        <w:t xml:space="preserve">Спецодежда, </w:t>
      </w:r>
      <w:r>
        <w:rPr>
          <w:rFonts w:ascii="Times New Roman" w:hAnsi="Times New Roman"/>
          <w:sz w:val="24"/>
          <w:szCs w:val="24"/>
          <w:shd w:fill="FFFFFF" w:val="clear"/>
        </w:rPr>
        <w:t>мягкий инвентарь и др.)</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 xml:space="preserve">Документом аналитического учета имущества, выданного в личное пользование является Карточка (книга) учета выдачи имущества в пользование (ф. 0504206), которая подлежит оформлению на каждого сотрудника, получающего имущество.   </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eastAsia="ru-RU"/>
        </w:rPr>
        <w:t xml:space="preserve">Списание имущества с забалансового счета оформляется решением Комиссии учреждения по поступлению и выбытию активов Актом о списании материальных запасов (ф. 0504230) с указанием причины списания. </w:t>
      </w:r>
    </w:p>
    <w:p>
      <w:pPr>
        <w:pStyle w:val="Normal"/>
        <w:spacing w:lineRule="auto" w:line="240" w:beforeAutospacing="1" w:afterAutospacing="1"/>
        <w:jc w:val="both"/>
        <w:rPr>
          <w:rFonts w:ascii="Times New Roman" w:hAnsi="Times New Roman"/>
          <w:sz w:val="24"/>
          <w:szCs w:val="24"/>
          <w:lang w:eastAsia="ru-RU"/>
        </w:rPr>
      </w:pPr>
      <w:r>
        <w:rPr>
          <w:rFonts w:ascii="Times New Roman" w:hAnsi="Times New Roman"/>
          <w:sz w:val="24"/>
          <w:szCs w:val="24"/>
          <w:lang w:eastAsia="ru-RU"/>
        </w:rPr>
      </w:r>
    </w:p>
    <w:p>
      <w:pPr>
        <w:pStyle w:val="Normal"/>
        <w:shd w:val="clear" w:color="auto" w:fill="FFFFFF"/>
        <w:spacing w:lineRule="auto" w:line="240" w:before="280" w:after="280"/>
        <w:ind w:right="-5" w:hanging="0"/>
        <w:jc w:val="both"/>
        <w:rPr>
          <w:rFonts w:ascii="Times New Roman" w:hAnsi="Times New Roman"/>
          <w:color w:val="000000"/>
          <w:spacing w:val="-2"/>
          <w:sz w:val="24"/>
          <w:szCs w:val="24"/>
        </w:rPr>
      </w:pPr>
      <w:r>
        <w:rPr>
          <w:rFonts w:ascii="Times New Roman" w:hAnsi="Times New Roman"/>
          <w:color w:val="000000"/>
          <w:spacing w:val="-2"/>
          <w:sz w:val="24"/>
          <w:szCs w:val="24"/>
          <w:lang w:eastAsia="ru-RU"/>
        </w:rPr>
        <w:t xml:space="preserve">Заведующий МБДОУ «Детский сад № 157»    </w:t>
        <w:tab/>
        <w:tab/>
        <w:t xml:space="preserve">                       Т.Ф.Баженова </w:t>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r>
    </w:p>
    <w:p>
      <w:pPr>
        <w:pStyle w:val="Normal"/>
        <w:widowControl w:val="false"/>
        <w:shd w:val="clear" w:color="auto" w:fill="FFFFFF"/>
        <w:tabs>
          <w:tab w:val="clear" w:pos="708"/>
          <w:tab w:val="left" w:pos="6690" w:leader="none"/>
        </w:tabs>
        <w:spacing w:lineRule="auto" w:line="240" w:beforeAutospacing="1" w:afterAutospacing="1"/>
        <w:ind w:right="-5" w:hanging="0"/>
        <w:contextualSpacing/>
        <w:jc w:val="center"/>
        <w:rPr>
          <w:rFonts w:ascii="Times New Roman" w:hAnsi="Times New Roman"/>
          <w:b/>
          <w:b/>
          <w:color w:val="000000"/>
          <w:spacing w:val="-2"/>
          <w:sz w:val="28"/>
          <w:szCs w:val="26"/>
        </w:rPr>
      </w:pPr>
      <w:r>
        <w:rPr>
          <w:rFonts w:ascii="Times New Roman" w:hAnsi="Times New Roman"/>
          <w:b/>
          <w:color w:val="000000"/>
          <w:spacing w:val="-2"/>
          <w:sz w:val="28"/>
          <w:szCs w:val="26"/>
        </w:rPr>
        <w:t>Учетная политика для целей налогового учета.</w:t>
      </w:r>
    </w:p>
    <w:p>
      <w:pPr>
        <w:pStyle w:val="Normal"/>
        <w:widowControl w:val="false"/>
        <w:shd w:val="clear" w:color="auto" w:fill="FFFFFF"/>
        <w:tabs>
          <w:tab w:val="clear" w:pos="708"/>
          <w:tab w:val="left" w:pos="6690" w:leader="none"/>
        </w:tabs>
        <w:spacing w:lineRule="auto" w:line="240" w:beforeAutospacing="1" w:afterAutospacing="1"/>
        <w:ind w:left="720" w:right="-5" w:hanging="0"/>
        <w:contextualSpacing/>
        <w:jc w:val="center"/>
        <w:rPr>
          <w:rFonts w:ascii="Times New Roman" w:hAnsi="Times New Roman"/>
          <w:b/>
          <w:b/>
          <w:color w:val="000000"/>
          <w:spacing w:val="-2"/>
          <w:sz w:val="26"/>
          <w:szCs w:val="26"/>
        </w:rPr>
      </w:pPr>
      <w:r>
        <w:rPr>
          <w:rFonts w:ascii="Times New Roman" w:hAnsi="Times New Roman"/>
          <w:b/>
          <w:color w:val="000000"/>
          <w:spacing w:val="-2"/>
          <w:sz w:val="26"/>
          <w:szCs w:val="26"/>
        </w:rPr>
      </w:r>
    </w:p>
    <w:p>
      <w:pPr>
        <w:pStyle w:val="Normal"/>
        <w:widowControl w:val="false"/>
        <w:shd w:val="clear" w:color="auto" w:fill="FFFFFF"/>
        <w:tabs>
          <w:tab w:val="clear" w:pos="708"/>
          <w:tab w:val="left" w:pos="10104" w:leader="none"/>
        </w:tabs>
        <w:spacing w:lineRule="auto" w:line="240" w:beforeAutospacing="1" w:afterAutospacing="1"/>
        <w:ind w:left="-567" w:right="-5" w:hanging="0"/>
        <w:contextualSpacing/>
        <w:jc w:val="center"/>
        <w:rPr>
          <w:rFonts w:ascii="Times New Roman" w:hAnsi="Times New Roman"/>
          <w:b/>
          <w:b/>
          <w:color w:val="000000"/>
          <w:spacing w:val="-2"/>
          <w:sz w:val="26"/>
          <w:szCs w:val="26"/>
        </w:rPr>
      </w:pPr>
      <w:r>
        <w:rPr>
          <w:rFonts w:ascii="Times New Roman" w:hAnsi="Times New Roman"/>
          <w:b/>
          <w:color w:val="000000"/>
          <w:spacing w:val="-2"/>
          <w:sz w:val="26"/>
          <w:szCs w:val="26"/>
        </w:rPr>
        <w:t>Общие положения</w:t>
      </w:r>
    </w:p>
    <w:p>
      <w:pPr>
        <w:pStyle w:val="Normal"/>
        <w:widowControl w:val="false"/>
        <w:shd w:val="clear" w:color="auto" w:fill="FFFFFF"/>
        <w:tabs>
          <w:tab w:val="clear" w:pos="708"/>
          <w:tab w:val="left" w:pos="10104" w:leader="none"/>
        </w:tabs>
        <w:spacing w:lineRule="auto" w:line="240" w:beforeAutospacing="1" w:afterAutospacing="1"/>
        <w:ind w:left="-567" w:right="-5" w:hanging="0"/>
        <w:contextualSpacing/>
        <w:jc w:val="center"/>
        <w:rPr>
          <w:rFonts w:ascii="Times New Roman" w:hAnsi="Times New Roman"/>
          <w:b/>
          <w:b/>
          <w:color w:val="000000"/>
          <w:spacing w:val="-2"/>
          <w:sz w:val="26"/>
          <w:szCs w:val="26"/>
        </w:rPr>
      </w:pPr>
      <w:r>
        <w:rPr>
          <w:rFonts w:ascii="Times New Roman" w:hAnsi="Times New Roman"/>
          <w:b/>
          <w:color w:val="000000"/>
          <w:spacing w:val="-2"/>
          <w:sz w:val="26"/>
          <w:szCs w:val="26"/>
        </w:rPr>
      </w:r>
    </w:p>
    <w:p>
      <w:pPr>
        <w:pStyle w:val="Normal"/>
        <w:shd w:val="clear" w:color="auto" w:fill="FFFFFF"/>
        <w:spacing w:lineRule="auto" w:line="240" w:beforeAutospacing="1" w:afterAutospacing="1"/>
        <w:ind w:right="-2" w:firstLine="567"/>
        <w:contextualSpacing/>
        <w:jc w:val="both"/>
        <w:rPr>
          <w:rFonts w:ascii="Times New Roman" w:hAnsi="Times New Roman"/>
          <w:color w:val="000000"/>
          <w:spacing w:val="7"/>
          <w:sz w:val="24"/>
          <w:szCs w:val="24"/>
        </w:rPr>
      </w:pPr>
      <w:r>
        <w:rPr>
          <w:rFonts w:ascii="Times New Roman" w:hAnsi="Times New Roman"/>
          <w:color w:val="000000"/>
          <w:spacing w:val="7"/>
          <w:sz w:val="24"/>
          <w:szCs w:val="24"/>
        </w:rPr>
        <w:t xml:space="preserve">Налоговый учет в МБДОУ «Детский сад № 157» осуществляется бухгалтерией учреждения. Налоговый учет ведется в электронном виде, используя программу «1С: бухгалтерия». </w:t>
      </w:r>
    </w:p>
    <w:p>
      <w:pPr>
        <w:pStyle w:val="Normal"/>
        <w:widowControl w:val="false"/>
        <w:shd w:val="clear" w:color="auto" w:fill="FFFFFF"/>
        <w:tabs>
          <w:tab w:val="clear" w:pos="708"/>
          <w:tab w:val="left" w:pos="1397" w:leader="none"/>
          <w:tab w:val="left" w:pos="9540" w:leader="none"/>
        </w:tabs>
        <w:spacing w:lineRule="auto" w:line="240" w:beforeAutospacing="1" w:afterAutospacing="1"/>
        <w:ind w:right="-2" w:firstLine="567"/>
        <w:contextualSpacing/>
        <w:jc w:val="both"/>
        <w:rPr>
          <w:rFonts w:ascii="Times New Roman" w:hAnsi="Times New Roman"/>
          <w:color w:val="000000"/>
          <w:spacing w:val="7"/>
          <w:sz w:val="24"/>
          <w:szCs w:val="24"/>
        </w:rPr>
      </w:pPr>
      <w:r>
        <w:rPr>
          <w:rFonts w:ascii="Times New Roman" w:hAnsi="Times New Roman"/>
          <w:color w:val="000000"/>
          <w:spacing w:val="7"/>
          <w:sz w:val="24"/>
          <w:szCs w:val="24"/>
        </w:rPr>
        <w:t>Основными задачами налогового учета являются:</w:t>
      </w:r>
    </w:p>
    <w:p>
      <w:pPr>
        <w:pStyle w:val="Normal"/>
        <w:widowControl w:val="false"/>
        <w:shd w:val="clear" w:color="auto" w:fill="FFFFFF"/>
        <w:tabs>
          <w:tab w:val="clear" w:pos="708"/>
          <w:tab w:val="left" w:pos="1397" w:leader="none"/>
          <w:tab w:val="left" w:pos="9540" w:leader="none"/>
        </w:tabs>
        <w:spacing w:lineRule="auto" w:line="240" w:beforeAutospacing="1" w:afterAutospacing="1"/>
        <w:ind w:right="-2" w:firstLine="567"/>
        <w:contextualSpacing/>
        <w:jc w:val="both"/>
        <w:rPr>
          <w:rFonts w:ascii="Times New Roman" w:hAnsi="Times New Roman"/>
          <w:color w:val="000000"/>
          <w:spacing w:val="7"/>
          <w:sz w:val="24"/>
          <w:szCs w:val="24"/>
        </w:rPr>
      </w:pPr>
      <w:r>
        <w:rPr>
          <w:rFonts w:ascii="Times New Roman" w:hAnsi="Times New Roman"/>
          <w:color w:val="000000"/>
          <w:spacing w:val="7"/>
          <w:sz w:val="24"/>
          <w:szCs w:val="24"/>
        </w:rPr>
        <w:t>- ведение в установленном порядке учета доходов и расходов и объектов налогообложения;</w:t>
      </w:r>
    </w:p>
    <w:p>
      <w:pPr>
        <w:pStyle w:val="Normal"/>
        <w:widowControl w:val="false"/>
        <w:shd w:val="clear" w:color="auto" w:fill="FFFFFF"/>
        <w:tabs>
          <w:tab w:val="clear" w:pos="708"/>
          <w:tab w:val="left" w:pos="1397" w:leader="none"/>
          <w:tab w:val="left" w:pos="9540" w:leader="none"/>
        </w:tabs>
        <w:spacing w:lineRule="auto" w:line="240" w:beforeAutospacing="1" w:afterAutospacing="1"/>
        <w:ind w:right="-2" w:firstLine="567"/>
        <w:contextualSpacing/>
        <w:jc w:val="both"/>
        <w:rPr>
          <w:rFonts w:ascii="Times New Roman" w:hAnsi="Times New Roman"/>
          <w:color w:val="000000"/>
          <w:spacing w:val="7"/>
          <w:sz w:val="24"/>
          <w:szCs w:val="24"/>
        </w:rPr>
      </w:pPr>
      <w:r>
        <w:rPr>
          <w:rFonts w:ascii="Times New Roman" w:hAnsi="Times New Roman"/>
          <w:color w:val="000000"/>
          <w:spacing w:val="7"/>
          <w:sz w:val="24"/>
          <w:szCs w:val="24"/>
        </w:rPr>
        <w:t>- представление в налоговый орган по месту учета в установленном порядке налоговых деклараций по следующим налогам: налог на имущество, налог на землю, налог на прибыль, НДС, НДФЛ, страховые взносы в Фонд социального страхования, Пенсионный фонд.</w:t>
      </w:r>
    </w:p>
    <w:p>
      <w:pPr>
        <w:pStyle w:val="Normal"/>
        <w:widowControl w:val="false"/>
        <w:shd w:val="clear" w:color="auto" w:fill="FFFFFF"/>
        <w:tabs>
          <w:tab w:val="clear" w:pos="708"/>
          <w:tab w:val="left" w:pos="1397" w:leader="none"/>
          <w:tab w:val="left" w:pos="9540" w:leader="none"/>
        </w:tabs>
        <w:spacing w:lineRule="auto" w:line="240" w:beforeAutospacing="1" w:afterAutospacing="1"/>
        <w:ind w:right="-2" w:firstLine="567"/>
        <w:contextualSpacing/>
        <w:jc w:val="both"/>
        <w:rPr>
          <w:rFonts w:ascii="Times New Roman" w:hAnsi="Times New Roman"/>
          <w:color w:val="000000"/>
          <w:spacing w:val="7"/>
          <w:sz w:val="24"/>
          <w:szCs w:val="24"/>
        </w:rPr>
      </w:pPr>
      <w:r>
        <w:rPr>
          <w:rFonts w:ascii="Times New Roman" w:hAnsi="Times New Roman"/>
          <w:color w:val="000000"/>
          <w:spacing w:val="7"/>
          <w:sz w:val="24"/>
          <w:szCs w:val="24"/>
        </w:rPr>
        <w:t>Объектами налогового учета являются:</w:t>
      </w:r>
    </w:p>
    <w:p>
      <w:pPr>
        <w:pStyle w:val="Normal"/>
        <w:widowControl w:val="false"/>
        <w:shd w:val="clear" w:color="auto" w:fill="FFFFFF"/>
        <w:tabs>
          <w:tab w:val="clear" w:pos="708"/>
          <w:tab w:val="left" w:pos="1397" w:leader="none"/>
          <w:tab w:val="left" w:pos="9540" w:leader="none"/>
        </w:tabs>
        <w:spacing w:lineRule="auto" w:line="240" w:beforeAutospacing="1" w:afterAutospacing="1"/>
        <w:ind w:right="-2" w:firstLine="567"/>
        <w:contextualSpacing/>
        <w:jc w:val="both"/>
        <w:rPr>
          <w:rFonts w:ascii="Times New Roman" w:hAnsi="Times New Roman"/>
          <w:color w:val="000000"/>
          <w:spacing w:val="7"/>
          <w:sz w:val="24"/>
          <w:szCs w:val="24"/>
        </w:rPr>
      </w:pPr>
      <w:r>
        <w:rPr>
          <w:rFonts w:ascii="Times New Roman" w:hAnsi="Times New Roman"/>
          <w:color w:val="000000"/>
          <w:spacing w:val="7"/>
          <w:sz w:val="24"/>
          <w:szCs w:val="24"/>
        </w:rPr>
        <w:t>- операции по реализации услуг;</w:t>
      </w:r>
    </w:p>
    <w:p>
      <w:pPr>
        <w:pStyle w:val="Normal"/>
        <w:widowControl w:val="false"/>
        <w:shd w:val="clear" w:color="auto" w:fill="FFFFFF"/>
        <w:tabs>
          <w:tab w:val="clear" w:pos="708"/>
          <w:tab w:val="left" w:pos="1397" w:leader="none"/>
          <w:tab w:val="left" w:pos="9540" w:leader="none"/>
        </w:tabs>
        <w:spacing w:lineRule="auto" w:line="240" w:beforeAutospacing="1" w:afterAutospacing="1"/>
        <w:ind w:right="-2" w:firstLine="567"/>
        <w:contextualSpacing/>
        <w:jc w:val="both"/>
        <w:rPr>
          <w:rFonts w:ascii="Times New Roman" w:hAnsi="Times New Roman"/>
          <w:color w:val="000000"/>
          <w:spacing w:val="7"/>
          <w:sz w:val="24"/>
          <w:szCs w:val="24"/>
        </w:rPr>
      </w:pPr>
      <w:r>
        <w:rPr>
          <w:rFonts w:ascii="Times New Roman" w:hAnsi="Times New Roman"/>
          <w:color w:val="000000"/>
          <w:spacing w:val="7"/>
          <w:sz w:val="24"/>
          <w:szCs w:val="24"/>
        </w:rPr>
        <w:t>- имущество;</w:t>
      </w:r>
    </w:p>
    <w:p>
      <w:pPr>
        <w:pStyle w:val="Normal"/>
        <w:widowControl w:val="false"/>
        <w:shd w:val="clear" w:color="auto" w:fill="FFFFFF"/>
        <w:tabs>
          <w:tab w:val="clear" w:pos="708"/>
          <w:tab w:val="left" w:pos="1397" w:leader="none"/>
          <w:tab w:val="left" w:pos="9540" w:leader="none"/>
        </w:tabs>
        <w:spacing w:lineRule="auto" w:line="240" w:beforeAutospacing="1" w:afterAutospacing="1"/>
        <w:ind w:right="-2" w:firstLine="567"/>
        <w:contextualSpacing/>
        <w:jc w:val="both"/>
        <w:rPr>
          <w:rFonts w:ascii="Times New Roman" w:hAnsi="Times New Roman"/>
          <w:color w:val="000000"/>
          <w:spacing w:val="7"/>
          <w:sz w:val="24"/>
          <w:szCs w:val="24"/>
        </w:rPr>
      </w:pPr>
      <w:r>
        <w:rPr>
          <w:rFonts w:ascii="Times New Roman" w:hAnsi="Times New Roman"/>
          <w:color w:val="000000"/>
          <w:spacing w:val="7"/>
          <w:sz w:val="24"/>
          <w:szCs w:val="24"/>
        </w:rPr>
        <w:t>- стоимость реализованных товаров;</w:t>
      </w:r>
    </w:p>
    <w:p>
      <w:pPr>
        <w:pStyle w:val="Normal"/>
        <w:widowControl w:val="false"/>
        <w:shd w:val="clear" w:color="auto" w:fill="FFFFFF"/>
        <w:tabs>
          <w:tab w:val="clear" w:pos="708"/>
          <w:tab w:val="left" w:pos="1397" w:leader="none"/>
          <w:tab w:val="left" w:pos="9540" w:leader="none"/>
        </w:tabs>
        <w:spacing w:lineRule="auto" w:line="240" w:beforeAutospacing="1" w:afterAutospacing="1"/>
        <w:ind w:right="-2" w:firstLine="567"/>
        <w:contextualSpacing/>
        <w:jc w:val="both"/>
        <w:rPr>
          <w:rFonts w:ascii="Times New Roman" w:hAnsi="Times New Roman"/>
          <w:color w:val="000000"/>
          <w:spacing w:val="7"/>
          <w:sz w:val="24"/>
          <w:szCs w:val="24"/>
        </w:rPr>
      </w:pPr>
      <w:r>
        <w:rPr>
          <w:rFonts w:ascii="Times New Roman" w:hAnsi="Times New Roman"/>
          <w:color w:val="000000"/>
          <w:spacing w:val="7"/>
          <w:sz w:val="24"/>
          <w:szCs w:val="24"/>
        </w:rPr>
        <w:t>- доходы, по которым возникает обязанность по уплате налогов;</w:t>
      </w:r>
    </w:p>
    <w:p>
      <w:pPr>
        <w:pStyle w:val="Normal"/>
        <w:widowControl w:val="false"/>
        <w:shd w:val="clear" w:color="auto" w:fill="FFFFFF"/>
        <w:tabs>
          <w:tab w:val="clear" w:pos="708"/>
          <w:tab w:val="left" w:pos="1397" w:leader="none"/>
          <w:tab w:val="left" w:pos="9540" w:leader="none"/>
        </w:tabs>
        <w:spacing w:lineRule="auto" w:line="240"/>
        <w:ind w:right="-2" w:firstLine="567"/>
        <w:jc w:val="both"/>
        <w:rPr>
          <w:rFonts w:ascii="Times New Roman" w:hAnsi="Times New Roman"/>
          <w:color w:val="000000"/>
          <w:spacing w:val="7"/>
          <w:sz w:val="24"/>
          <w:szCs w:val="24"/>
        </w:rPr>
      </w:pPr>
      <w:r>
        <w:rPr>
          <w:rFonts w:ascii="Times New Roman" w:hAnsi="Times New Roman"/>
          <w:color w:val="000000"/>
          <w:spacing w:val="7"/>
          <w:sz w:val="24"/>
          <w:szCs w:val="24"/>
        </w:rPr>
        <w:t>-иные объекты, имеющие стоимость, по которым возникает обязанность по уплате налогов.</w:t>
      </w:r>
    </w:p>
    <w:p>
      <w:pPr>
        <w:pStyle w:val="Normal"/>
        <w:widowControl w:val="false"/>
        <w:shd w:val="clear" w:color="auto" w:fill="FFFFFF"/>
        <w:tabs>
          <w:tab w:val="clear" w:pos="708"/>
          <w:tab w:val="left" w:pos="1397" w:leader="none"/>
          <w:tab w:val="left" w:pos="9540" w:leader="none"/>
        </w:tabs>
        <w:spacing w:lineRule="auto" w:line="240" w:beforeAutospacing="1" w:afterAutospacing="1"/>
        <w:ind w:right="-2" w:firstLine="567"/>
        <w:contextualSpacing/>
        <w:jc w:val="both"/>
        <w:rPr>
          <w:rFonts w:ascii="Times New Roman" w:hAnsi="Times New Roman"/>
          <w:color w:val="000000"/>
          <w:sz w:val="24"/>
          <w:szCs w:val="24"/>
        </w:rPr>
      </w:pPr>
      <w:r>
        <w:rPr>
          <w:rFonts w:ascii="Times New Roman" w:hAnsi="Times New Roman"/>
          <w:color w:val="000000"/>
          <w:spacing w:val="7"/>
          <w:sz w:val="24"/>
          <w:szCs w:val="24"/>
        </w:rPr>
        <w:t>Для подтверждения данных налогового учета используются первичные учетные документы (включая бухгалтерскую справку), оформленные в соответствии с законодательством РФ</w:t>
      </w:r>
      <w:r>
        <w:rPr>
          <w:rFonts w:ascii="Times New Roman" w:hAnsi="Times New Roman"/>
          <w:color w:val="000000"/>
          <w:sz w:val="24"/>
          <w:szCs w:val="24"/>
        </w:rPr>
        <w:t>, аналитические регистры налогового учета.</w:t>
      </w:r>
    </w:p>
    <w:p>
      <w:pPr>
        <w:pStyle w:val="Normal"/>
        <w:widowControl w:val="false"/>
        <w:shd w:val="clear" w:color="auto" w:fill="FFFFFF"/>
        <w:tabs>
          <w:tab w:val="clear" w:pos="708"/>
          <w:tab w:val="left" w:pos="1397" w:leader="none"/>
          <w:tab w:val="left" w:pos="9540" w:leader="none"/>
        </w:tabs>
        <w:spacing w:lineRule="auto" w:line="240" w:beforeAutospacing="1" w:afterAutospacing="1"/>
        <w:ind w:right="-2" w:firstLine="567"/>
        <w:contextualSpacing/>
        <w:jc w:val="both"/>
        <w:rPr>
          <w:rFonts w:ascii="Times New Roman" w:hAnsi="Times New Roman"/>
          <w:color w:val="000000"/>
          <w:sz w:val="24"/>
          <w:szCs w:val="24"/>
        </w:rPr>
      </w:pPr>
      <w:r>
        <w:rPr>
          <w:rFonts w:ascii="Times New Roman" w:hAnsi="Times New Roman"/>
          <w:color w:val="000000"/>
          <w:sz w:val="24"/>
          <w:szCs w:val="24"/>
        </w:rPr>
        <w:t>Регистры налогового учета формируются на основании данных регистров бюджетного учета. В регистрах налогового учета должен быть отражен источник информации или основание для записи.</w:t>
      </w:r>
    </w:p>
    <w:p>
      <w:pPr>
        <w:pStyle w:val="Normal"/>
        <w:widowControl w:val="false"/>
        <w:shd w:val="clear" w:color="auto" w:fill="FFFFFF"/>
        <w:tabs>
          <w:tab w:val="clear" w:pos="708"/>
          <w:tab w:val="left" w:pos="1397" w:leader="none"/>
          <w:tab w:val="left" w:pos="9540" w:leader="none"/>
        </w:tabs>
        <w:spacing w:lineRule="auto" w:line="240" w:beforeAutospacing="1" w:afterAutospacing="1"/>
        <w:ind w:right="-2" w:firstLine="567"/>
        <w:contextualSpacing/>
        <w:jc w:val="both"/>
        <w:rPr>
          <w:rFonts w:ascii="Times New Roman" w:hAnsi="Times New Roman"/>
          <w:color w:val="000000"/>
          <w:sz w:val="24"/>
          <w:szCs w:val="24"/>
        </w:rPr>
      </w:pPr>
      <w:r>
        <w:rPr>
          <w:rFonts w:ascii="Times New Roman" w:hAnsi="Times New Roman"/>
          <w:color w:val="000000"/>
          <w:sz w:val="24"/>
          <w:szCs w:val="24"/>
        </w:rPr>
        <w:t>Ответственность за ведение налогового учета возлагается на главного бухгалтера.</w:t>
      </w:r>
    </w:p>
    <w:p>
      <w:pPr>
        <w:pStyle w:val="Normal"/>
        <w:shd w:val="clear" w:color="auto" w:fill="FFFFFF"/>
        <w:spacing w:lineRule="auto" w:line="240"/>
        <w:ind w:left="-284" w:right="-711" w:hanging="0"/>
        <w:jc w:val="center"/>
        <w:rPr>
          <w:rFonts w:ascii="Times New Roman" w:hAnsi="Times New Roman"/>
          <w:b/>
          <w:b/>
          <w:color w:val="000000"/>
          <w:spacing w:val="7"/>
          <w:sz w:val="24"/>
          <w:szCs w:val="24"/>
        </w:rPr>
      </w:pPr>
      <w:r>
        <w:rPr>
          <w:rFonts w:ascii="Times New Roman" w:hAnsi="Times New Roman"/>
          <w:b/>
          <w:color w:val="000000"/>
          <w:spacing w:val="7"/>
          <w:sz w:val="24"/>
          <w:szCs w:val="24"/>
        </w:rPr>
      </w:r>
    </w:p>
    <w:p>
      <w:pPr>
        <w:pStyle w:val="Normal"/>
        <w:shd w:val="clear" w:color="auto" w:fill="FFFFFF"/>
        <w:spacing w:lineRule="auto" w:line="240"/>
        <w:ind w:left="-284" w:right="-711" w:hanging="0"/>
        <w:jc w:val="center"/>
        <w:rPr>
          <w:rFonts w:ascii="Times New Roman" w:hAnsi="Times New Roman"/>
          <w:b/>
          <w:b/>
          <w:color w:val="000000"/>
          <w:spacing w:val="7"/>
          <w:sz w:val="24"/>
          <w:szCs w:val="24"/>
        </w:rPr>
      </w:pPr>
      <w:r>
        <w:rPr>
          <w:rFonts w:ascii="Times New Roman" w:hAnsi="Times New Roman"/>
          <w:b/>
          <w:color w:val="000000"/>
          <w:spacing w:val="7"/>
          <w:sz w:val="24"/>
          <w:szCs w:val="24"/>
        </w:rPr>
        <w:t>Налог на прибыль.</w:t>
      </w:r>
    </w:p>
    <w:p>
      <w:pPr>
        <w:pStyle w:val="Normal"/>
        <w:shd w:val="clear" w:color="auto" w:fill="FFFFFF"/>
        <w:spacing w:lineRule="auto" w:line="240" w:beforeAutospacing="1" w:afterAutospacing="1"/>
        <w:ind w:right="-2" w:firstLine="567"/>
        <w:contextualSpacing/>
        <w:jc w:val="both"/>
        <w:rPr>
          <w:rFonts w:ascii="Times New Roman" w:hAnsi="Times New Roman"/>
          <w:color w:val="000000"/>
          <w:spacing w:val="7"/>
          <w:sz w:val="24"/>
          <w:szCs w:val="24"/>
        </w:rPr>
      </w:pPr>
      <w:r>
        <w:rPr>
          <w:rFonts w:ascii="Times New Roman" w:hAnsi="Times New Roman"/>
          <w:color w:val="000000"/>
          <w:spacing w:val="7"/>
          <w:sz w:val="24"/>
          <w:szCs w:val="24"/>
        </w:rPr>
        <w:t>Налоговым периодом по налогу на прибыль считается год, отчетными периодами – первый квартал, полугодие и девять месяцев календарного года (ст. 285 НК РФ).</w:t>
      </w:r>
    </w:p>
    <w:p>
      <w:pPr>
        <w:pStyle w:val="Normal"/>
        <w:shd w:val="clear" w:color="auto" w:fill="FFFFFF"/>
        <w:spacing w:lineRule="auto" w:line="240" w:beforeAutospacing="1" w:afterAutospacing="1"/>
        <w:ind w:right="-2" w:firstLine="567"/>
        <w:contextualSpacing/>
        <w:jc w:val="both"/>
        <w:rPr>
          <w:rFonts w:ascii="Times New Roman" w:hAnsi="Times New Roman"/>
          <w:color w:val="000000"/>
          <w:spacing w:val="7"/>
          <w:sz w:val="24"/>
          <w:szCs w:val="24"/>
        </w:rPr>
      </w:pPr>
      <w:r>
        <w:rPr>
          <w:rFonts w:ascii="Times New Roman" w:hAnsi="Times New Roman"/>
          <w:color w:val="000000"/>
          <w:spacing w:val="7"/>
          <w:sz w:val="24"/>
          <w:szCs w:val="24"/>
        </w:rPr>
        <w:t>Методом признания доходов и расходов для целей налогообложения считается метод начисления в соответствии со ст. 271, 272 гл. 25 НК РФ. Дата получения дохода определяется тем отчетным (налоговым) периодом, в котором они имели место, независимо от  фактической оплаты.</w:t>
      </w:r>
    </w:p>
    <w:p>
      <w:pPr>
        <w:pStyle w:val="Normal"/>
        <w:shd w:val="clear" w:color="auto" w:fill="FFFFFF"/>
        <w:spacing w:lineRule="auto" w:line="240" w:beforeAutospacing="1" w:afterAutospacing="1"/>
        <w:ind w:right="-2" w:firstLine="567"/>
        <w:contextualSpacing/>
        <w:jc w:val="both"/>
        <w:rPr>
          <w:rFonts w:ascii="Times New Roman" w:hAnsi="Times New Roman"/>
          <w:color w:val="000000"/>
          <w:spacing w:val="7"/>
          <w:sz w:val="24"/>
          <w:szCs w:val="24"/>
        </w:rPr>
      </w:pPr>
      <w:r>
        <w:rPr>
          <w:rFonts w:ascii="Times New Roman" w:hAnsi="Times New Roman"/>
          <w:color w:val="000000"/>
          <w:spacing w:val="7"/>
          <w:sz w:val="24"/>
          <w:szCs w:val="24"/>
        </w:rPr>
        <w:t>Доходами для целей налогообложения от предпринимательской деятельности признаются доходы, получаемые от юридических и физических лиц по операциям от реализации товаров (работ, услуг, имущественных прав) и внереализационные доходы в соответствии со ст. 249, 250 ,321.1 гл 25 НК РФ.</w:t>
      </w:r>
    </w:p>
    <w:p>
      <w:pPr>
        <w:pStyle w:val="Normal"/>
        <w:shd w:val="clear" w:color="auto" w:fill="FFFFFF"/>
        <w:spacing w:lineRule="auto" w:line="240" w:beforeAutospacing="1" w:afterAutospacing="1"/>
        <w:ind w:right="-2" w:firstLine="567"/>
        <w:contextualSpacing/>
        <w:jc w:val="both"/>
        <w:rPr>
          <w:rFonts w:ascii="Times New Roman" w:hAnsi="Times New Roman"/>
          <w:color w:val="000000"/>
          <w:spacing w:val="7"/>
          <w:sz w:val="24"/>
          <w:szCs w:val="24"/>
        </w:rPr>
      </w:pPr>
      <w:r>
        <w:rPr>
          <w:rFonts w:ascii="Times New Roman" w:hAnsi="Times New Roman"/>
          <w:color w:val="000000"/>
          <w:spacing w:val="7"/>
          <w:sz w:val="24"/>
          <w:szCs w:val="24"/>
        </w:rPr>
        <w:t>При определении налоговой базы действуют положения ст. 251 НК РФ. Перечень доходов, поименованных в данной статье, является исчерпывающим и полным.</w:t>
      </w:r>
    </w:p>
    <w:p>
      <w:pPr>
        <w:pStyle w:val="Normal"/>
        <w:shd w:val="clear" w:color="auto" w:fill="FFFFFF"/>
        <w:spacing w:lineRule="auto" w:line="240" w:beforeAutospacing="1" w:afterAutospacing="1"/>
        <w:ind w:right="-2" w:firstLine="567"/>
        <w:contextualSpacing/>
        <w:jc w:val="both"/>
        <w:rPr>
          <w:rFonts w:ascii="Times New Roman" w:hAnsi="Times New Roman"/>
          <w:color w:val="000000"/>
          <w:spacing w:val="7"/>
          <w:sz w:val="24"/>
          <w:szCs w:val="24"/>
        </w:rPr>
      </w:pPr>
      <w:r>
        <w:rPr>
          <w:rFonts w:ascii="Times New Roman" w:hAnsi="Times New Roman"/>
          <w:color w:val="000000"/>
          <w:spacing w:val="7"/>
          <w:sz w:val="24"/>
          <w:szCs w:val="24"/>
        </w:rPr>
        <w:t>При определении налоговой базы не учитываются следующие доходы:</w:t>
      </w:r>
    </w:p>
    <w:p>
      <w:pPr>
        <w:pStyle w:val="Normal"/>
        <w:shd w:val="clear" w:color="auto" w:fill="FFFFFF"/>
        <w:spacing w:lineRule="auto" w:line="240" w:beforeAutospacing="1" w:afterAutospacing="1"/>
        <w:ind w:right="-2" w:firstLine="567"/>
        <w:contextualSpacing/>
        <w:jc w:val="both"/>
        <w:rPr>
          <w:rFonts w:ascii="Times New Roman" w:hAnsi="Times New Roman"/>
          <w:color w:val="000000"/>
          <w:spacing w:val="7"/>
          <w:sz w:val="24"/>
          <w:szCs w:val="24"/>
        </w:rPr>
      </w:pPr>
      <w:r>
        <w:rPr>
          <w:rFonts w:ascii="Times New Roman" w:hAnsi="Times New Roman"/>
          <w:color w:val="000000"/>
          <w:spacing w:val="7"/>
          <w:sz w:val="24"/>
          <w:szCs w:val="24"/>
        </w:rPr>
        <w:t>- в виде средств, полученных от оказания учреждениями государственных (муниципальных) услуг (выполнения работ), а также от исполнения ими иных государственных (муниципальных) функций;</w:t>
      </w:r>
    </w:p>
    <w:p>
      <w:pPr>
        <w:pStyle w:val="Normal"/>
        <w:shd w:val="clear" w:color="auto" w:fill="FFFFFF"/>
        <w:spacing w:lineRule="auto" w:line="240" w:beforeAutospacing="1" w:afterAutospacing="1"/>
        <w:ind w:right="-2" w:firstLine="567"/>
        <w:contextualSpacing/>
        <w:jc w:val="both"/>
        <w:rPr>
          <w:rFonts w:ascii="Times New Roman" w:hAnsi="Times New Roman"/>
          <w:color w:val="000000"/>
          <w:spacing w:val="7"/>
          <w:sz w:val="24"/>
          <w:szCs w:val="24"/>
        </w:rPr>
      </w:pPr>
      <w:r>
        <w:rPr>
          <w:rFonts w:ascii="Times New Roman" w:hAnsi="Times New Roman"/>
          <w:color w:val="000000"/>
          <w:spacing w:val="7"/>
          <w:sz w:val="24"/>
          <w:szCs w:val="24"/>
        </w:rPr>
        <w:t>- целевые поступления на содержание некоммерческих организаций и ведение ими уставной деятельности, поступившие безвозмездно на основании решений органов государственной власти и органов местного самоуправления и решений органов управления государственных внебюджетных фондов, а также целевые поступления от других организаций и (или) физических лиц и использованные указанными получателями по назначению.</w:t>
      </w:r>
    </w:p>
    <w:p>
      <w:pPr>
        <w:pStyle w:val="Normal"/>
        <w:shd w:val="clear" w:color="auto" w:fill="FFFFFF"/>
        <w:spacing w:lineRule="auto" w:line="240"/>
        <w:ind w:left="-284" w:right="-5" w:hanging="0"/>
        <w:jc w:val="center"/>
        <w:rPr>
          <w:rFonts w:ascii="Times New Roman" w:hAnsi="Times New Roman"/>
          <w:b/>
          <w:b/>
          <w:color w:val="000000"/>
          <w:spacing w:val="7"/>
          <w:sz w:val="24"/>
          <w:szCs w:val="24"/>
        </w:rPr>
      </w:pPr>
      <w:r>
        <w:rPr>
          <w:rFonts w:ascii="Times New Roman" w:hAnsi="Times New Roman"/>
          <w:b/>
          <w:color w:val="000000"/>
          <w:spacing w:val="7"/>
          <w:sz w:val="24"/>
          <w:szCs w:val="24"/>
        </w:rPr>
      </w:r>
    </w:p>
    <w:p>
      <w:pPr>
        <w:pStyle w:val="Normal"/>
        <w:shd w:val="clear" w:color="auto" w:fill="FFFFFF"/>
        <w:spacing w:lineRule="auto" w:line="240"/>
        <w:ind w:left="-284" w:right="-5" w:hanging="0"/>
        <w:jc w:val="center"/>
        <w:rPr>
          <w:rFonts w:ascii="Times New Roman" w:hAnsi="Times New Roman"/>
          <w:b/>
          <w:b/>
          <w:color w:val="000000"/>
          <w:spacing w:val="7"/>
          <w:sz w:val="24"/>
          <w:szCs w:val="24"/>
        </w:rPr>
      </w:pPr>
      <w:r>
        <w:rPr>
          <w:rFonts w:ascii="Times New Roman" w:hAnsi="Times New Roman"/>
          <w:b/>
          <w:color w:val="000000"/>
          <w:spacing w:val="7"/>
          <w:sz w:val="24"/>
          <w:szCs w:val="24"/>
        </w:rPr>
        <w:t>Налог на имущество.</w:t>
      </w:r>
    </w:p>
    <w:p>
      <w:pPr>
        <w:pStyle w:val="Normal"/>
        <w:shd w:val="clear" w:color="auto" w:fill="FFFFFF"/>
        <w:tabs>
          <w:tab w:val="clear" w:pos="708"/>
          <w:tab w:val="left" w:pos="1134" w:leader="none"/>
        </w:tabs>
        <w:spacing w:lineRule="auto" w:line="240" w:beforeAutospacing="1" w:afterAutospacing="1"/>
        <w:ind w:right="-6" w:firstLine="567"/>
        <w:contextualSpacing/>
        <w:jc w:val="both"/>
        <w:rPr>
          <w:rFonts w:ascii="Times New Roman" w:hAnsi="Times New Roman"/>
          <w:color w:val="000000"/>
          <w:spacing w:val="7"/>
          <w:sz w:val="24"/>
          <w:szCs w:val="24"/>
        </w:rPr>
      </w:pPr>
      <w:r>
        <w:rPr>
          <w:rFonts w:ascii="Times New Roman" w:hAnsi="Times New Roman"/>
          <w:color w:val="000000"/>
          <w:spacing w:val="7"/>
          <w:sz w:val="24"/>
          <w:szCs w:val="24"/>
        </w:rPr>
        <w:t>Объектом налогообложения по налогу на имущество является:  недвижимое имущество (в т.ч. переданное во временное владение, в пользование распоряжение, доверительное управление, внесенное в совместную деятельность или полученное по концессионному соглашению), учитываемое на балансе в качестве объектов основных средств.</w:t>
      </w:r>
    </w:p>
    <w:p>
      <w:pPr>
        <w:pStyle w:val="Normal"/>
        <w:shd w:val="clear" w:color="auto" w:fill="FFFFFF"/>
        <w:tabs>
          <w:tab w:val="clear" w:pos="708"/>
          <w:tab w:val="left" w:pos="1134" w:leader="none"/>
        </w:tabs>
        <w:spacing w:lineRule="auto" w:line="240" w:beforeAutospacing="1" w:afterAutospacing="1"/>
        <w:ind w:right="-6" w:firstLine="567"/>
        <w:contextualSpacing/>
        <w:jc w:val="both"/>
        <w:rPr>
          <w:rFonts w:ascii="Times New Roman" w:hAnsi="Times New Roman"/>
          <w:color w:val="000000"/>
          <w:spacing w:val="7"/>
          <w:sz w:val="24"/>
          <w:szCs w:val="24"/>
        </w:rPr>
      </w:pPr>
      <w:r>
        <w:rPr>
          <w:rFonts w:ascii="Times New Roman" w:hAnsi="Times New Roman"/>
          <w:color w:val="000000"/>
          <w:spacing w:val="7"/>
          <w:sz w:val="24"/>
          <w:szCs w:val="24"/>
        </w:rPr>
        <w:t>Налоговая база определяется как среднегодовая стоимость имущества, признаваемого объектом налогообложения. При этом имущество учитывается по остаточной стоимости.</w:t>
      </w:r>
    </w:p>
    <w:p>
      <w:pPr>
        <w:pStyle w:val="Normal"/>
        <w:spacing w:lineRule="auto" w:line="240"/>
        <w:ind w:firstLine="540"/>
        <w:jc w:val="both"/>
        <w:rPr>
          <w:rFonts w:ascii="Times New Roman" w:hAnsi="Times New Roman"/>
          <w:bCs/>
          <w:sz w:val="24"/>
          <w:szCs w:val="24"/>
        </w:rPr>
      </w:pPr>
      <w:r>
        <w:rPr>
          <w:rFonts w:ascii="Times New Roman" w:hAnsi="Times New Roman"/>
          <w:color w:val="000000"/>
          <w:spacing w:val="7"/>
          <w:sz w:val="24"/>
          <w:szCs w:val="24"/>
        </w:rPr>
        <w:t xml:space="preserve">Налоговой период: календарный год. Отчетные периоды – первый квартал, полугодие и девять месяцев календарного года. Налоговые ставки устанавливаются законами субъектов РФ. Сумма авансового платежа исчисляется по итогам каждого отчетного периода в размере ¼ произведения налоговой ставки и средней стоимости имущества, определенной за отчетный период. </w:t>
      </w:r>
      <w:r>
        <w:rPr>
          <w:rFonts w:ascii="Times New Roman" w:hAnsi="Times New Roman"/>
          <w:bCs/>
          <w:sz w:val="24"/>
          <w:szCs w:val="24"/>
        </w:rPr>
        <w:t>Налогообложение производится по ставке 2,2%.</w:t>
      </w:r>
    </w:p>
    <w:p>
      <w:pPr>
        <w:pStyle w:val="Normal"/>
        <w:shd w:val="clear" w:color="auto" w:fill="FFFFFF"/>
        <w:spacing w:lineRule="auto" w:line="240"/>
        <w:ind w:left="-284" w:right="-5" w:hanging="0"/>
        <w:jc w:val="center"/>
        <w:rPr>
          <w:rFonts w:ascii="Times New Roman" w:hAnsi="Times New Roman"/>
          <w:b/>
          <w:b/>
          <w:color w:val="000000"/>
          <w:spacing w:val="7"/>
          <w:sz w:val="24"/>
          <w:szCs w:val="24"/>
        </w:rPr>
      </w:pPr>
      <w:r>
        <w:rPr>
          <w:rFonts w:ascii="Times New Roman" w:hAnsi="Times New Roman"/>
          <w:b/>
          <w:color w:val="000000"/>
          <w:spacing w:val="7"/>
          <w:sz w:val="24"/>
          <w:szCs w:val="24"/>
        </w:rPr>
        <w:t>Земельный налог.</w:t>
      </w:r>
    </w:p>
    <w:p>
      <w:pPr>
        <w:pStyle w:val="Normal"/>
        <w:shd w:val="clear" w:color="auto" w:fill="FFFFFF"/>
        <w:spacing w:lineRule="auto" w:line="240" w:beforeAutospacing="1" w:afterAutospacing="1"/>
        <w:ind w:right="-6" w:firstLine="567"/>
        <w:contextualSpacing/>
        <w:jc w:val="both"/>
        <w:rPr>
          <w:rFonts w:ascii="Times New Roman" w:hAnsi="Times New Roman"/>
          <w:color w:val="000000"/>
          <w:spacing w:val="7"/>
          <w:sz w:val="24"/>
          <w:szCs w:val="24"/>
        </w:rPr>
      </w:pPr>
      <w:r>
        <w:rPr>
          <w:rFonts w:ascii="Times New Roman" w:hAnsi="Times New Roman"/>
          <w:color w:val="000000"/>
          <w:spacing w:val="7"/>
          <w:sz w:val="24"/>
          <w:szCs w:val="24"/>
        </w:rPr>
        <w:t>Налогоплательщиками земельного налога признаются все организации, обладающие земельными участками на праве собственности, праве постоянного (бессрочного) пользования.</w:t>
      </w:r>
    </w:p>
    <w:p>
      <w:pPr>
        <w:pStyle w:val="Normal"/>
        <w:shd w:val="clear" w:color="auto" w:fill="FFFFFF"/>
        <w:spacing w:lineRule="auto" w:line="240" w:beforeAutospacing="1" w:afterAutospacing="1"/>
        <w:ind w:right="-6" w:firstLine="567"/>
        <w:contextualSpacing/>
        <w:jc w:val="both"/>
        <w:rPr>
          <w:rFonts w:ascii="Times New Roman" w:hAnsi="Times New Roman"/>
          <w:color w:val="000000"/>
          <w:spacing w:val="7"/>
          <w:sz w:val="24"/>
          <w:szCs w:val="24"/>
        </w:rPr>
      </w:pPr>
      <w:r>
        <w:rPr>
          <w:rFonts w:ascii="Times New Roman" w:hAnsi="Times New Roman"/>
          <w:color w:val="000000"/>
          <w:spacing w:val="7"/>
          <w:sz w:val="24"/>
          <w:szCs w:val="24"/>
        </w:rPr>
        <w:t>Порядок уплаты земельного налога и его ставки определяются местными властями на основании ставок, установленных гл.31 НК РФ. Налоговая база определяется в отношении каждого земельного участка как его кадастровая стоимость по состоянию на 1 января года, являющегося налоговым периодом.</w:t>
      </w:r>
    </w:p>
    <w:p>
      <w:pPr>
        <w:pStyle w:val="Normal"/>
        <w:shd w:val="clear" w:color="auto" w:fill="FFFFFF"/>
        <w:spacing w:lineRule="auto" w:line="240" w:beforeAutospacing="1" w:afterAutospacing="1"/>
        <w:ind w:right="-6" w:firstLine="567"/>
        <w:contextualSpacing/>
        <w:jc w:val="both"/>
        <w:rPr>
          <w:rFonts w:ascii="Times New Roman" w:hAnsi="Times New Roman"/>
          <w:color w:val="000000"/>
          <w:spacing w:val="7"/>
          <w:sz w:val="24"/>
          <w:szCs w:val="24"/>
        </w:rPr>
      </w:pPr>
      <w:r>
        <w:rPr>
          <w:rFonts w:ascii="Times New Roman" w:hAnsi="Times New Roman"/>
          <w:color w:val="000000"/>
          <w:spacing w:val="7"/>
          <w:sz w:val="24"/>
          <w:szCs w:val="24"/>
        </w:rPr>
        <w:t>Налоговой период: календарный год. Отчетные периоды – первый квартал, полугодие и девять месяцев календарного года.</w:t>
      </w:r>
    </w:p>
    <w:p>
      <w:pPr>
        <w:pStyle w:val="Normal"/>
        <w:shd w:val="clear" w:color="auto" w:fill="FFFFFF"/>
        <w:spacing w:lineRule="auto" w:line="240" w:beforeAutospacing="1" w:afterAutospacing="1"/>
        <w:ind w:right="-6" w:firstLine="567"/>
        <w:contextualSpacing/>
        <w:jc w:val="both"/>
        <w:rPr>
          <w:rFonts w:ascii="Times New Roman" w:hAnsi="Times New Roman"/>
          <w:color w:val="000000"/>
          <w:spacing w:val="7"/>
          <w:sz w:val="24"/>
          <w:szCs w:val="24"/>
        </w:rPr>
      </w:pPr>
      <w:r>
        <w:rPr>
          <w:rFonts w:ascii="Times New Roman" w:hAnsi="Times New Roman"/>
          <w:color w:val="000000"/>
          <w:spacing w:val="7"/>
          <w:sz w:val="24"/>
          <w:szCs w:val="24"/>
        </w:rPr>
        <w:t>Сумма земельного налога исчисляется по истечении налогового периода как соответствующая налоговой ставке процентная доля налоговой базы. Сумма налога, подлежащая уплате в бюджет по итогам налогового периода, определяется как разница между суммой налога, исчисленной в соответствии с п.1 ст. 396 НК РФ, и суммами подлежащих уплате в течение налогового периода авансовых платежей по налогу. Бюджетные учреждения, являющиеся плательщиками налога, исчисляют сумму налога (сумму авансовых платежей по налогу) самостоятельно.</w:t>
      </w:r>
    </w:p>
    <w:p>
      <w:pPr>
        <w:pStyle w:val="Normal"/>
        <w:shd w:val="clear" w:color="auto" w:fill="FFFFFF"/>
        <w:spacing w:lineRule="auto" w:line="240"/>
        <w:ind w:left="-284" w:right="-5" w:hanging="0"/>
        <w:jc w:val="center"/>
        <w:rPr>
          <w:rFonts w:ascii="Times New Roman" w:hAnsi="Times New Roman"/>
          <w:b/>
          <w:b/>
          <w:color w:val="000000"/>
          <w:spacing w:val="7"/>
          <w:sz w:val="24"/>
          <w:szCs w:val="24"/>
        </w:rPr>
      </w:pPr>
      <w:r>
        <w:rPr>
          <w:rFonts w:ascii="Times New Roman" w:hAnsi="Times New Roman"/>
          <w:b/>
          <w:color w:val="000000"/>
          <w:spacing w:val="7"/>
          <w:sz w:val="24"/>
          <w:szCs w:val="24"/>
        </w:rPr>
      </w:r>
    </w:p>
    <w:p>
      <w:pPr>
        <w:pStyle w:val="Normal"/>
        <w:shd w:val="clear" w:color="auto" w:fill="FFFFFF"/>
        <w:spacing w:lineRule="auto" w:line="240"/>
        <w:ind w:left="-284" w:right="-5" w:hanging="0"/>
        <w:jc w:val="center"/>
        <w:rPr>
          <w:rFonts w:ascii="Times New Roman" w:hAnsi="Times New Roman"/>
          <w:b/>
          <w:b/>
          <w:color w:val="000000"/>
          <w:spacing w:val="7"/>
          <w:sz w:val="24"/>
          <w:szCs w:val="24"/>
        </w:rPr>
      </w:pPr>
      <w:r>
        <w:rPr>
          <w:rFonts w:ascii="Times New Roman" w:hAnsi="Times New Roman"/>
          <w:b/>
          <w:color w:val="000000"/>
          <w:spacing w:val="7"/>
          <w:sz w:val="24"/>
          <w:szCs w:val="24"/>
        </w:rPr>
        <w:t>Налог на доходы физических лиц.</w:t>
      </w:r>
    </w:p>
    <w:p>
      <w:pPr>
        <w:pStyle w:val="Normal"/>
        <w:shd w:val="clear" w:color="auto" w:fill="FFFFFF"/>
        <w:spacing w:lineRule="auto" w:line="240" w:beforeAutospacing="1" w:afterAutospacing="1"/>
        <w:ind w:right="-6" w:firstLine="567"/>
        <w:contextualSpacing/>
        <w:jc w:val="both"/>
        <w:rPr>
          <w:rFonts w:ascii="Times New Roman" w:hAnsi="Times New Roman"/>
          <w:color w:val="000000"/>
          <w:spacing w:val="7"/>
          <w:sz w:val="24"/>
          <w:szCs w:val="24"/>
        </w:rPr>
      </w:pPr>
      <w:r>
        <w:rPr>
          <w:rFonts w:ascii="Times New Roman" w:hAnsi="Times New Roman"/>
          <w:color w:val="000000"/>
          <w:spacing w:val="7"/>
          <w:sz w:val="24"/>
          <w:szCs w:val="24"/>
        </w:rPr>
        <w:t>Налог на доходы физических лиц является одним из видов прямых налогов в РФ. НДФЛ уплачивается со всех видов доходов, полученных в календарном году, как в денежной, так и в натуральной форме, облагаемых налогом. Исчисляется он в процентах от совокупного дохода физических лиц без включения  в налоговую базу налоговых вычетов и сумм, освобожденных от налогообложения, в соответствии с гл. 23 НК, которая регламентирует порядок определения налоговой базы, льгот и налоговых вычетов по НДФЛ.</w:t>
      </w:r>
    </w:p>
    <w:p>
      <w:pPr>
        <w:pStyle w:val="Normal"/>
        <w:shd w:val="clear" w:color="auto" w:fill="FFFFFF"/>
        <w:spacing w:lineRule="auto" w:line="240" w:beforeAutospacing="1" w:afterAutospacing="1"/>
        <w:ind w:right="-6" w:firstLine="567"/>
        <w:contextualSpacing/>
        <w:jc w:val="both"/>
        <w:rPr>
          <w:rFonts w:ascii="Times New Roman" w:hAnsi="Times New Roman"/>
          <w:color w:val="000000"/>
          <w:spacing w:val="7"/>
          <w:sz w:val="24"/>
          <w:szCs w:val="24"/>
        </w:rPr>
      </w:pPr>
      <w:r>
        <w:rPr>
          <w:rFonts w:ascii="Times New Roman" w:hAnsi="Times New Roman"/>
          <w:sz w:val="24"/>
          <w:szCs w:val="24"/>
        </w:rPr>
        <w:t xml:space="preserve">МБДОУ «Детский сад № 157» исполняет обязанности налогового агента по исчислению, удержанию у налогоплательщиков – физических лиц и уплате налога на доходы физических лиц (НДФЛ) в порядке, установленном гл. 23 НК РФ. </w:t>
      </w:r>
      <w:r>
        <w:rPr>
          <w:rFonts w:ascii="Times New Roman" w:hAnsi="Times New Roman"/>
          <w:color w:val="000000"/>
          <w:spacing w:val="7"/>
          <w:sz w:val="24"/>
          <w:szCs w:val="24"/>
        </w:rPr>
        <w:t>Ставка составляет 13%. НДФЛ с заработной платы рассчитывается, удерживается и перечисляется в бюджет работодателем (налоговым агентом).</w:t>
      </w:r>
    </w:p>
    <w:p>
      <w:pPr>
        <w:pStyle w:val="Normal"/>
        <w:shd w:val="clear" w:color="auto" w:fill="FFFFFF"/>
        <w:spacing w:lineRule="auto" w:line="240" w:beforeAutospacing="1" w:afterAutospacing="1"/>
        <w:ind w:right="-6" w:firstLine="567"/>
        <w:contextualSpacing/>
        <w:jc w:val="both"/>
        <w:rPr>
          <w:rFonts w:ascii="Times New Roman" w:hAnsi="Times New Roman"/>
          <w:sz w:val="24"/>
          <w:szCs w:val="24"/>
        </w:rPr>
      </w:pPr>
      <w:r>
        <w:rPr>
          <w:rFonts w:ascii="Times New Roman" w:hAnsi="Times New Roman"/>
          <w:sz w:val="24"/>
          <w:szCs w:val="24"/>
        </w:rPr>
        <w:t>Налоговыми регистрами для учета НДФЛ являются лицевые счета работников с указанием всех видов льгот и вычетов и журнал операций расчетов по заработной плате.</w:t>
      </w:r>
    </w:p>
    <w:p>
      <w:pPr>
        <w:pStyle w:val="Normal"/>
        <w:shd w:val="clear" w:color="auto" w:fill="FFFFFF"/>
        <w:spacing w:lineRule="auto" w:line="240" w:beforeAutospacing="1" w:afterAutospacing="1"/>
        <w:ind w:right="-6" w:firstLine="567"/>
        <w:contextualSpacing/>
        <w:jc w:val="both"/>
        <w:rPr>
          <w:rFonts w:ascii="Times New Roman" w:hAnsi="Times New Roman"/>
          <w:sz w:val="24"/>
          <w:szCs w:val="24"/>
        </w:rPr>
      </w:pPr>
      <w:r>
        <w:rPr>
          <w:rFonts w:ascii="Times New Roman" w:hAnsi="Times New Roman"/>
          <w:sz w:val="24"/>
          <w:szCs w:val="24"/>
        </w:rPr>
        <w:t>Лицом, ответственным за ведение налоговых регистров, является главный бухгалтер.</w:t>
      </w:r>
    </w:p>
    <w:p>
      <w:pPr>
        <w:pStyle w:val="Normal"/>
        <w:shd w:val="clear" w:color="auto" w:fill="FFFFFF"/>
        <w:spacing w:lineRule="auto" w:line="240" w:beforeAutospacing="1" w:afterAutospacing="1"/>
        <w:ind w:left="-284" w:right="-5" w:hanging="0"/>
        <w:contextualSpacing/>
        <w:jc w:val="center"/>
        <w:rPr>
          <w:rFonts w:ascii="Times New Roman" w:hAnsi="Times New Roman"/>
          <w:b/>
          <w:b/>
          <w:color w:val="000000"/>
          <w:spacing w:val="7"/>
          <w:sz w:val="24"/>
          <w:szCs w:val="24"/>
        </w:rPr>
      </w:pPr>
      <w:r>
        <w:rPr>
          <w:rFonts w:ascii="Times New Roman" w:hAnsi="Times New Roman"/>
          <w:b/>
          <w:color w:val="000000"/>
          <w:spacing w:val="7"/>
          <w:sz w:val="24"/>
          <w:szCs w:val="24"/>
        </w:rPr>
      </w:r>
    </w:p>
    <w:p>
      <w:pPr>
        <w:pStyle w:val="Normal"/>
        <w:shd w:val="clear" w:color="auto" w:fill="FFFFFF"/>
        <w:spacing w:lineRule="auto" w:line="240" w:beforeAutospacing="1" w:afterAutospacing="1"/>
        <w:ind w:left="-284" w:right="-5" w:hanging="0"/>
        <w:contextualSpacing/>
        <w:jc w:val="center"/>
        <w:rPr>
          <w:rFonts w:ascii="Times New Roman" w:hAnsi="Times New Roman"/>
          <w:b/>
          <w:b/>
          <w:color w:val="000000"/>
          <w:spacing w:val="7"/>
          <w:sz w:val="24"/>
          <w:szCs w:val="24"/>
        </w:rPr>
      </w:pPr>
      <w:r>
        <w:rPr>
          <w:rFonts w:ascii="Times New Roman" w:hAnsi="Times New Roman"/>
          <w:b/>
          <w:color w:val="000000"/>
          <w:spacing w:val="7"/>
          <w:sz w:val="24"/>
          <w:szCs w:val="24"/>
        </w:rPr>
        <w:t>Страховые взносы.</w:t>
      </w:r>
    </w:p>
    <w:p>
      <w:pPr>
        <w:pStyle w:val="Normal"/>
        <w:shd w:val="clear" w:color="auto" w:fill="FFFFFF"/>
        <w:spacing w:lineRule="auto" w:line="240" w:beforeAutospacing="1" w:afterAutospacing="1"/>
        <w:ind w:left="-284" w:right="-5" w:hanging="0"/>
        <w:contextualSpacing/>
        <w:jc w:val="center"/>
        <w:rPr>
          <w:rFonts w:ascii="Times New Roman" w:hAnsi="Times New Roman"/>
          <w:b/>
          <w:b/>
          <w:color w:val="000000"/>
          <w:spacing w:val="7"/>
          <w:sz w:val="24"/>
          <w:szCs w:val="24"/>
        </w:rPr>
      </w:pPr>
      <w:r>
        <w:rPr>
          <w:rFonts w:ascii="Times New Roman" w:hAnsi="Times New Roman"/>
          <w:b/>
          <w:color w:val="000000"/>
          <w:spacing w:val="7"/>
          <w:sz w:val="24"/>
          <w:szCs w:val="24"/>
        </w:rPr>
      </w:r>
    </w:p>
    <w:p>
      <w:pPr>
        <w:pStyle w:val="Normal"/>
        <w:shd w:val="clear" w:color="auto" w:fill="FFFFFF"/>
        <w:spacing w:lineRule="auto" w:line="240" w:beforeAutospacing="1" w:afterAutospacing="1"/>
        <w:ind w:right="-6" w:firstLine="567"/>
        <w:contextualSpacing/>
        <w:jc w:val="both"/>
        <w:rPr>
          <w:rFonts w:ascii="Times New Roman" w:hAnsi="Times New Roman"/>
          <w:sz w:val="24"/>
          <w:szCs w:val="24"/>
        </w:rPr>
      </w:pPr>
      <w:r>
        <w:rPr>
          <w:rFonts w:ascii="Times New Roman" w:hAnsi="Times New Roman"/>
          <w:sz w:val="24"/>
          <w:szCs w:val="24"/>
        </w:rPr>
        <w:t>Объектами обложения страховыми взносами являются выплаты и иные вознаграждения, начисляемы плательщиками страховых взносов в пользу физических лиц по трудовым и гражданско-правовым договорам, предметом которых является выполнение работ, оказание услуг.</w:t>
      </w:r>
    </w:p>
    <w:p>
      <w:pPr>
        <w:pStyle w:val="Normal"/>
        <w:shd w:val="clear" w:color="auto" w:fill="FFFFFF"/>
        <w:spacing w:lineRule="auto" w:line="240" w:beforeAutospacing="1" w:afterAutospacing="1"/>
        <w:ind w:right="-6" w:firstLine="567"/>
        <w:contextualSpacing/>
        <w:jc w:val="both"/>
        <w:rPr>
          <w:rFonts w:ascii="Times New Roman" w:hAnsi="Times New Roman"/>
          <w:sz w:val="24"/>
          <w:szCs w:val="24"/>
        </w:rPr>
      </w:pPr>
      <w:r>
        <w:rPr>
          <w:rFonts w:ascii="Times New Roman" w:hAnsi="Times New Roman"/>
          <w:sz w:val="24"/>
          <w:szCs w:val="24"/>
        </w:rPr>
        <w:t>Уплату страховых взносов регулирует Федеральный закон от 24.07.2009г. №212-ФЗ.</w:t>
      </w:r>
    </w:p>
    <w:p>
      <w:pPr>
        <w:pStyle w:val="Normal"/>
        <w:shd w:val="clear" w:color="auto" w:fill="FFFFFF"/>
        <w:spacing w:lineRule="auto" w:line="240" w:beforeAutospacing="1" w:afterAutospacing="1"/>
        <w:ind w:right="-6" w:firstLine="567"/>
        <w:contextualSpacing/>
        <w:jc w:val="both"/>
        <w:rPr>
          <w:rFonts w:ascii="Times New Roman" w:hAnsi="Times New Roman"/>
          <w:sz w:val="24"/>
          <w:szCs w:val="24"/>
        </w:rPr>
      </w:pPr>
      <w:r>
        <w:rPr>
          <w:rFonts w:ascii="Times New Roman" w:hAnsi="Times New Roman"/>
          <w:sz w:val="24"/>
          <w:szCs w:val="24"/>
        </w:rPr>
        <w:t xml:space="preserve">Налоговым регистром для учета страховых взносов являются лицевые счета работников с разбивкой выплат, включаемых и не включаемых в базу для начисления и журнал операций расчетов по заработной плате. </w:t>
      </w:r>
    </w:p>
    <w:p>
      <w:pPr>
        <w:pStyle w:val="Normal"/>
        <w:shd w:val="clear" w:color="auto" w:fill="FFFFFF"/>
        <w:spacing w:lineRule="auto" w:line="240" w:beforeAutospacing="1" w:afterAutospacing="1"/>
        <w:ind w:right="-6" w:firstLine="567"/>
        <w:contextualSpacing/>
        <w:jc w:val="both"/>
        <w:rPr>
          <w:rFonts w:ascii="Times New Roman" w:hAnsi="Times New Roman"/>
          <w:sz w:val="24"/>
          <w:szCs w:val="24"/>
        </w:rPr>
      </w:pPr>
      <w:r>
        <w:rPr>
          <w:rFonts w:ascii="Times New Roman" w:hAnsi="Times New Roman"/>
          <w:sz w:val="24"/>
          <w:szCs w:val="24"/>
        </w:rPr>
        <w:t>Лицом, ответственным за ведение налоговых регистров, является главный бухгалтер.</w:t>
      </w:r>
    </w:p>
    <w:p>
      <w:pPr>
        <w:pStyle w:val="BodyTextIndent2"/>
        <w:spacing w:lineRule="auto" w:line="240"/>
        <w:ind w:left="-284" w:right="-5" w:hanging="0"/>
        <w:jc w:val="both"/>
        <w:rPr>
          <w:rFonts w:ascii="Times New Roman" w:hAnsi="Times New Roman"/>
          <w:sz w:val="24"/>
          <w:szCs w:val="24"/>
        </w:rPr>
      </w:pPr>
      <w:r>
        <w:rPr>
          <w:rFonts w:ascii="Times New Roman" w:hAnsi="Times New Roman"/>
          <w:sz w:val="24"/>
          <w:szCs w:val="24"/>
        </w:rPr>
      </w:r>
    </w:p>
    <w:p>
      <w:pPr>
        <w:pStyle w:val="Normal"/>
        <w:shd w:val="clear" w:color="auto" w:fill="FFFFFF"/>
        <w:spacing w:lineRule="auto" w:line="240"/>
        <w:ind w:right="-5" w:firstLine="540"/>
        <w:jc w:val="both"/>
        <w:rPr>
          <w:rFonts w:ascii="Times New Roman" w:hAnsi="Times New Roman"/>
          <w:color w:val="000000"/>
          <w:spacing w:val="-2"/>
          <w:sz w:val="24"/>
          <w:szCs w:val="24"/>
        </w:rPr>
      </w:pPr>
      <w:r>
        <w:rPr>
          <w:rFonts w:ascii="Times New Roman" w:hAnsi="Times New Roman"/>
          <w:color w:val="000000"/>
          <w:spacing w:val="-2"/>
          <w:sz w:val="24"/>
          <w:szCs w:val="24"/>
        </w:rPr>
        <w:t xml:space="preserve">Заведующий МБДОУ «Детский сад № 157»    </w:t>
        <w:tab/>
        <w:tab/>
        <w:t xml:space="preserve">                       Т.Ф.Баженова </w:t>
      </w:r>
    </w:p>
    <w:p>
      <w:pPr>
        <w:pStyle w:val="Normal"/>
        <w:spacing w:lineRule="auto" w:line="240" w:beforeAutospacing="1" w:afterAutospacing="1"/>
        <w:jc w:val="both"/>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Autospacing="1" w:afterAutospacing="1"/>
        <w:jc w:val="both"/>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Autospacing="1" w:afterAutospacing="1"/>
        <w:jc w:val="both"/>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Autospacing="1" w:afterAutospacing="1"/>
        <w:jc w:val="both"/>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Autospacing="1" w:afterAutospacing="1"/>
        <w:jc w:val="both"/>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Autospacing="1" w:afterAutospacing="1"/>
        <w:jc w:val="both"/>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Autospacing="1" w:afterAutospacing="1"/>
        <w:jc w:val="both"/>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Autospacing="1" w:afterAutospacing="1"/>
        <w:jc w:val="both"/>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Autospacing="1" w:afterAutospacing="1"/>
        <w:jc w:val="both"/>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Autospacing="1" w:afterAutospacing="1"/>
        <w:jc w:val="both"/>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Autospacing="1" w:afterAutospacing="1"/>
        <w:jc w:val="both"/>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Autospacing="1" w:afterAutospacing="1"/>
        <w:jc w:val="both"/>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Autospacing="1" w:afterAutospacing="1"/>
        <w:jc w:val="both"/>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Autospacing="1" w:afterAutospacing="1"/>
        <w:jc w:val="both"/>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Autospacing="1" w:afterAutospacing="1"/>
        <w:jc w:val="both"/>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Autospacing="1" w:afterAutospacing="1"/>
        <w:jc w:val="both"/>
        <w:rPr>
          <w:rFonts w:ascii="Times New Roman" w:hAnsi="Times New Roman"/>
          <w:sz w:val="24"/>
          <w:szCs w:val="24"/>
          <w:lang w:eastAsia="ru-RU"/>
        </w:rPr>
      </w:pPr>
      <w:r>
        <w:rPr>
          <w:rFonts w:ascii="Times New Roman" w:hAnsi="Times New Roman"/>
          <w:sz w:val="24"/>
          <w:szCs w:val="24"/>
          <w:lang w:eastAsia="ru-RU"/>
        </w:rPr>
      </w:r>
    </w:p>
    <w:p>
      <w:pPr>
        <w:pStyle w:val="ListParagraph"/>
        <w:spacing w:lineRule="auto" w:line="240" w:before="0" w:after="0"/>
        <w:contextualSpacing/>
        <w:rPr>
          <w:rFonts w:ascii="Times New Roman" w:hAnsi="Times New Roman"/>
          <w:sz w:val="24"/>
          <w:szCs w:val="24"/>
        </w:rPr>
      </w:pPr>
      <w:r>
        <w:rPr>
          <w:rFonts w:ascii="Times New Roman" w:hAnsi="Times New Roman"/>
          <w:sz w:val="24"/>
          <w:szCs w:val="24"/>
        </w:rPr>
      </w:r>
    </w:p>
    <w:p>
      <w:pPr>
        <w:pStyle w:val="ListParagraph"/>
        <w:spacing w:lineRule="auto" w:line="240" w:before="0" w:after="0"/>
        <w:contextualSpacing/>
        <w:rPr>
          <w:rFonts w:ascii="Times New Roman" w:hAnsi="Times New Roman"/>
          <w:sz w:val="24"/>
          <w:szCs w:val="24"/>
        </w:rPr>
      </w:pPr>
      <w:r>
        <w:rPr>
          <w:rFonts w:ascii="Times New Roman" w:hAnsi="Times New Roman"/>
          <w:sz w:val="24"/>
          <w:szCs w:val="24"/>
        </w:rPr>
      </w:r>
    </w:p>
    <w:p>
      <w:pPr>
        <w:pStyle w:val="ListParagraph"/>
        <w:spacing w:lineRule="auto" w:line="240" w:before="0" w:after="0"/>
        <w:contextualSpacing/>
        <w:rPr>
          <w:rFonts w:ascii="Times New Roman" w:hAnsi="Times New Roman"/>
          <w:sz w:val="24"/>
          <w:szCs w:val="24"/>
        </w:rPr>
      </w:pPr>
      <w:r>
        <w:rPr>
          <w:rFonts w:ascii="Times New Roman" w:hAnsi="Times New Roman"/>
          <w:sz w:val="24"/>
          <w:szCs w:val="24"/>
        </w:rPr>
      </w:r>
    </w:p>
    <w:p>
      <w:pPr>
        <w:pStyle w:val="Normal"/>
        <w:spacing w:lineRule="auto" w:line="240" w:before="0" w:after="0"/>
        <w:jc w:val="right"/>
        <w:rPr>
          <w:rFonts w:ascii="Times New Roman" w:hAnsi="Times New Roman"/>
          <w:sz w:val="24"/>
          <w:szCs w:val="24"/>
        </w:rPr>
      </w:pPr>
      <w:r>
        <w:rPr>
          <w:rFonts w:ascii="Times New Roman" w:hAnsi="Times New Roman"/>
          <w:sz w:val="24"/>
          <w:szCs w:val="24"/>
        </w:rPr>
        <w:t>Приложение № 2</w:t>
      </w:r>
    </w:p>
    <w:p>
      <w:pPr>
        <w:pStyle w:val="Normal"/>
        <w:spacing w:lineRule="auto" w:line="240" w:before="0" w:after="0"/>
        <w:jc w:val="right"/>
        <w:rPr>
          <w:rFonts w:ascii="Times New Roman" w:hAnsi="Times New Roman"/>
          <w:sz w:val="24"/>
          <w:szCs w:val="24"/>
        </w:rPr>
      </w:pPr>
      <w:r>
        <w:rPr>
          <w:rFonts w:ascii="Times New Roman" w:hAnsi="Times New Roman"/>
          <w:sz w:val="24"/>
          <w:szCs w:val="24"/>
        </w:rPr>
        <w:t>к Учетной политике от 11.01.2021г.</w:t>
      </w:r>
    </w:p>
    <w:tbl>
      <w:tblPr>
        <w:tblW w:w="8920" w:type="dxa"/>
        <w:jc w:val="left"/>
        <w:tblInd w:w="93" w:type="dxa"/>
        <w:tblLayout w:type="fixed"/>
        <w:tblCellMar>
          <w:top w:w="0" w:type="dxa"/>
          <w:left w:w="108" w:type="dxa"/>
          <w:bottom w:w="0" w:type="dxa"/>
          <w:right w:w="108" w:type="dxa"/>
        </w:tblCellMar>
        <w:tblLook w:val="00a0"/>
      </w:tblPr>
      <w:tblGrid>
        <w:gridCol w:w="1016"/>
        <w:gridCol w:w="2444"/>
        <w:gridCol w:w="2156"/>
        <w:gridCol w:w="1742"/>
        <w:gridCol w:w="1562"/>
      </w:tblGrid>
      <w:tr>
        <w:trPr>
          <w:trHeight w:val="780" w:hRule="atLeast"/>
        </w:trPr>
        <w:tc>
          <w:tcPr>
            <w:tcW w:w="8920" w:type="dxa"/>
            <w:gridSpan w:val="5"/>
            <w:tcBorders/>
            <w:vAlign w:val="bottom"/>
          </w:tcPr>
          <w:p>
            <w:pPr>
              <w:pStyle w:val="Normal"/>
              <w:widowControl w:val="false"/>
              <w:spacing w:lineRule="auto" w:line="240" w:beforeAutospacing="1" w:after="0"/>
              <w:jc w:val="center"/>
              <w:rPr>
                <w:rFonts w:ascii="Times New Roman" w:hAnsi="Times New Roman"/>
                <w:b/>
                <w:b/>
                <w:bCs/>
                <w:sz w:val="24"/>
                <w:szCs w:val="24"/>
              </w:rPr>
            </w:pPr>
            <w:r>
              <w:rPr>
                <w:rFonts w:ascii="Times New Roman" w:hAnsi="Times New Roman"/>
                <w:b/>
                <w:bCs/>
                <w:sz w:val="24"/>
                <w:szCs w:val="24"/>
              </w:rPr>
              <w:t>Рабочий план счетов бухгалтерского учета в МБДОУ "Детский сад № 157"</w:t>
            </w:r>
          </w:p>
        </w:tc>
      </w:tr>
      <w:tr>
        <w:trPr>
          <w:trHeight w:val="229" w:hRule="atLeast"/>
        </w:trPr>
        <w:tc>
          <w:tcPr>
            <w:tcW w:w="1016" w:type="dxa"/>
            <w:tcBorders/>
            <w:vAlign w:val="bottom"/>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r>
          </w:p>
        </w:tc>
        <w:tc>
          <w:tcPr>
            <w:tcW w:w="2444" w:type="dxa"/>
            <w:tcBorders/>
            <w:vAlign w:val="bottom"/>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r>
          </w:p>
        </w:tc>
        <w:tc>
          <w:tcPr>
            <w:tcW w:w="2156" w:type="dxa"/>
            <w:tcBorders/>
            <w:vAlign w:val="bottom"/>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r>
          </w:p>
        </w:tc>
        <w:tc>
          <w:tcPr>
            <w:tcW w:w="1742" w:type="dxa"/>
            <w:tcBorders/>
            <w:vAlign w:val="bottom"/>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r>
          </w:p>
        </w:tc>
        <w:tc>
          <w:tcPr>
            <w:tcW w:w="1562" w:type="dxa"/>
            <w:tcBorders/>
            <w:vAlign w:val="bottom"/>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r>
          </w:p>
        </w:tc>
      </w:tr>
      <w:tr>
        <w:trPr>
          <w:trHeight w:val="229" w:hRule="atLeast"/>
        </w:trPr>
        <w:tc>
          <w:tcPr>
            <w:tcW w:w="1016" w:type="dxa"/>
            <w:tcBorders/>
            <w:vAlign w:val="bottom"/>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r>
          </w:p>
        </w:tc>
        <w:tc>
          <w:tcPr>
            <w:tcW w:w="2444" w:type="dxa"/>
            <w:tcBorders/>
            <w:vAlign w:val="bottom"/>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r>
          </w:p>
        </w:tc>
        <w:tc>
          <w:tcPr>
            <w:tcW w:w="2156" w:type="dxa"/>
            <w:tcBorders/>
            <w:vAlign w:val="bottom"/>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r>
          </w:p>
        </w:tc>
        <w:tc>
          <w:tcPr>
            <w:tcW w:w="1742" w:type="dxa"/>
            <w:tcBorders/>
            <w:vAlign w:val="bottom"/>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r>
          </w:p>
        </w:tc>
        <w:tc>
          <w:tcPr>
            <w:tcW w:w="1562" w:type="dxa"/>
            <w:tcBorders/>
            <w:vAlign w:val="bottom"/>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r>
          </w:p>
        </w:tc>
      </w:tr>
      <w:tr>
        <w:trPr>
          <w:trHeight w:val="360" w:hRule="atLeast"/>
        </w:trPr>
        <w:tc>
          <w:tcPr>
            <w:tcW w:w="1016" w:type="dxa"/>
            <w:tcBorders>
              <w:top w:val="single" w:sz="4" w:space="0" w:color="000000"/>
              <w:left w:val="single" w:sz="4" w:space="0" w:color="000000"/>
              <w:bottom w:val="single" w:sz="4" w:space="0" w:color="000000"/>
              <w:right w:val="single" w:sz="4" w:space="0" w:color="000000"/>
            </w:tcBorders>
            <w:shd w:color="000000" w:fill="F5F2DD" w:val="clear"/>
          </w:tcPr>
          <w:p>
            <w:pPr>
              <w:pStyle w:val="Normal"/>
              <w:widowControl w:val="false"/>
              <w:spacing w:lineRule="auto" w:line="240" w:beforeAutospacing="1" w:after="0"/>
              <w:rPr>
                <w:rFonts w:ascii="Times New Roman" w:hAnsi="Times New Roman"/>
                <w:color w:val="594304"/>
                <w:sz w:val="24"/>
                <w:szCs w:val="24"/>
              </w:rPr>
            </w:pPr>
            <w:r>
              <w:rPr>
                <w:rFonts w:ascii="Times New Roman" w:hAnsi="Times New Roman"/>
                <w:color w:val="594304"/>
                <w:sz w:val="24"/>
                <w:szCs w:val="24"/>
              </w:rPr>
              <w:t xml:space="preserve">№ </w:t>
            </w:r>
            <w:r>
              <w:rPr>
                <w:rFonts w:ascii="Times New Roman" w:hAnsi="Times New Roman"/>
                <w:color w:val="594304"/>
                <w:sz w:val="24"/>
                <w:szCs w:val="24"/>
              </w:rPr>
              <w:t>п/п</w:t>
            </w:r>
          </w:p>
        </w:tc>
        <w:tc>
          <w:tcPr>
            <w:tcW w:w="2444" w:type="dxa"/>
            <w:tcBorders>
              <w:top w:val="single" w:sz="4" w:space="0" w:color="000000"/>
              <w:bottom w:val="single" w:sz="4" w:space="0" w:color="000000"/>
              <w:right w:val="single" w:sz="4" w:space="0" w:color="000000"/>
            </w:tcBorders>
            <w:shd w:color="000000" w:fill="F5F2DD" w:val="clear"/>
          </w:tcPr>
          <w:p>
            <w:pPr>
              <w:pStyle w:val="Normal"/>
              <w:widowControl w:val="false"/>
              <w:spacing w:lineRule="auto" w:line="240" w:beforeAutospacing="1" w:after="0"/>
              <w:rPr>
                <w:rFonts w:ascii="Times New Roman" w:hAnsi="Times New Roman"/>
                <w:color w:val="594304"/>
                <w:sz w:val="24"/>
                <w:szCs w:val="24"/>
              </w:rPr>
            </w:pPr>
            <w:r>
              <w:rPr>
                <w:rFonts w:ascii="Times New Roman" w:hAnsi="Times New Roman"/>
                <w:color w:val="594304"/>
                <w:sz w:val="24"/>
                <w:szCs w:val="24"/>
              </w:rPr>
              <w:t>КПС</w:t>
            </w:r>
          </w:p>
        </w:tc>
        <w:tc>
          <w:tcPr>
            <w:tcW w:w="2156" w:type="dxa"/>
            <w:tcBorders>
              <w:top w:val="single" w:sz="4" w:space="0" w:color="000000"/>
              <w:bottom w:val="single" w:sz="4" w:space="0" w:color="000000"/>
              <w:right w:val="single" w:sz="4" w:space="0" w:color="000000"/>
            </w:tcBorders>
            <w:shd w:color="000000" w:fill="F5F2DD" w:val="clear"/>
          </w:tcPr>
          <w:p>
            <w:pPr>
              <w:pStyle w:val="Normal"/>
              <w:widowControl w:val="false"/>
              <w:spacing w:lineRule="auto" w:line="240" w:beforeAutospacing="1" w:after="0"/>
              <w:rPr>
                <w:rFonts w:ascii="Times New Roman" w:hAnsi="Times New Roman"/>
                <w:color w:val="594304"/>
                <w:sz w:val="24"/>
                <w:szCs w:val="24"/>
              </w:rPr>
            </w:pPr>
            <w:r>
              <w:rPr>
                <w:rFonts w:ascii="Times New Roman" w:hAnsi="Times New Roman"/>
                <w:color w:val="594304"/>
                <w:sz w:val="24"/>
                <w:szCs w:val="24"/>
              </w:rPr>
              <w:t>КФО</w:t>
            </w:r>
          </w:p>
        </w:tc>
        <w:tc>
          <w:tcPr>
            <w:tcW w:w="1742" w:type="dxa"/>
            <w:tcBorders>
              <w:top w:val="single" w:sz="4" w:space="0" w:color="000000"/>
              <w:bottom w:val="single" w:sz="4" w:space="0" w:color="000000"/>
              <w:right w:val="single" w:sz="4" w:space="0" w:color="000000"/>
            </w:tcBorders>
            <w:shd w:color="000000" w:fill="F5F2DD" w:val="clear"/>
          </w:tcPr>
          <w:p>
            <w:pPr>
              <w:pStyle w:val="Normal"/>
              <w:widowControl w:val="false"/>
              <w:spacing w:lineRule="auto" w:line="240" w:beforeAutospacing="1" w:after="0"/>
              <w:rPr>
                <w:rFonts w:ascii="Times New Roman" w:hAnsi="Times New Roman"/>
                <w:color w:val="594304"/>
                <w:sz w:val="24"/>
                <w:szCs w:val="24"/>
              </w:rPr>
            </w:pPr>
            <w:r>
              <w:rPr>
                <w:rFonts w:ascii="Times New Roman" w:hAnsi="Times New Roman"/>
                <w:color w:val="594304"/>
                <w:sz w:val="24"/>
                <w:szCs w:val="24"/>
              </w:rPr>
              <w:t>Код счета</w:t>
            </w:r>
          </w:p>
        </w:tc>
        <w:tc>
          <w:tcPr>
            <w:tcW w:w="1562" w:type="dxa"/>
            <w:tcBorders>
              <w:top w:val="single" w:sz="4" w:space="0" w:color="000000"/>
              <w:bottom w:val="single" w:sz="4" w:space="0" w:color="000000"/>
              <w:right w:val="single" w:sz="4" w:space="0" w:color="000000"/>
            </w:tcBorders>
            <w:shd w:color="000000" w:fill="F5F2DD" w:val="clear"/>
          </w:tcPr>
          <w:p>
            <w:pPr>
              <w:pStyle w:val="Normal"/>
              <w:widowControl w:val="false"/>
              <w:spacing w:lineRule="auto" w:line="240" w:beforeAutospacing="1" w:after="0"/>
              <w:rPr>
                <w:rFonts w:ascii="Times New Roman" w:hAnsi="Times New Roman"/>
                <w:color w:val="594304"/>
                <w:sz w:val="24"/>
                <w:szCs w:val="24"/>
              </w:rPr>
            </w:pPr>
            <w:r>
              <w:rPr>
                <w:rFonts w:ascii="Times New Roman" w:hAnsi="Times New Roman"/>
                <w:color w:val="594304"/>
                <w:sz w:val="24"/>
                <w:szCs w:val="24"/>
              </w:rPr>
              <w:t>Вид КПС</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101.12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2</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101.24</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101.34</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101.34</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101.36</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6</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101.36</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7</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101.38</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8</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101.38</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9</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103.11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104.12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11</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104.24</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12</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104.34</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13</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104.34</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14</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104.36</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15</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104.36</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16</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104.38</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17</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104.38</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18</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105.31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19</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105.31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20</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105.32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21</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105.32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22</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105.35</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23</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105.35</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24</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105.36</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25</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105.36</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26</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106.31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27</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109.61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28</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109.61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29</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07010000000000112</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109.61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109.61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31</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109.61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32</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109.61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33</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109.61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34</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07010000000000851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109.61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35</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07010000000000853</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109.61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36</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109.71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37</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109.71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38</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109.81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39</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109.81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40</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07010000000000112</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109.81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41</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109.81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42</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109.81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43</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109.81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44</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07010000000000851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109.81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45</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07010000000000853</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109.81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46</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201.11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47</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201.11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48</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201.11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49</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07010000000000130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205.31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07010000000000130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205.31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51</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07010000000000180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205.31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52</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07010000000000180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205.81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53</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07010000000000180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205.81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54</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10040000000000180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205.81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55</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206.21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56</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206.26</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57</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00000000000000180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210.06</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58</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302.11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59</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302.11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60</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302.11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61</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07010000000000112</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302.12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62</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302.13</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63</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302.13</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64</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302.13</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65</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302.21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66</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302.23</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67</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302.23</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68</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302.23</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69</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302.25</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70</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302.25</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71</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302.25</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72</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302.26</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73</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302.26</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74</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10040000000000244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302.26</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75</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302.31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76</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302.31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77</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302.34</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78</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302.34</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79</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10040000000000321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302.62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80</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303.01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81</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303.01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82</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303.01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83</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303.02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86</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303.02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85</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303.02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86</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07010000000000831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303.05</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87</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07010000000000852</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303.05</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88</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07010000000000853</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303.05</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89</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303.06</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90</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303.06</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91</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303.06</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92</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303.07</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93</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303.07</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94</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303.07</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95</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303.10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96</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303.10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97</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303.10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98</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07010000000000851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303.12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99</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07010000000000851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303.13</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100</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304.03</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101</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304.03</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102</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10040000000000321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304.03</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103</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304.06</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104</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304.06</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105</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304.06</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106</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07010000000000130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401.10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107</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07010000000000130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401.10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108</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07010000000000180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401.10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109</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07010000000000180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401.10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110</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10040000000000180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401.10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111</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401.20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112</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401.20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113</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401.20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114</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401.20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115</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10040000000000244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401.20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116</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10040000000000321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401.20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117</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00000000000000000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401.30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118</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00000000000000000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401.30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119</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00000000000000000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401.30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120</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07010000000000130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401.40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121</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401.60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122</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401.60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123</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502.11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124</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502.11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125</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502.11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126</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07010000000000112</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502.11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127</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502.11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128</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502.11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129</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502.11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130</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502.11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131</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502.11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132</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502.11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133</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01040000000000321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502.11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134</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07010000000000851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502.11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135</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502.12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136</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502.12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137</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502.12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138</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07010000000000112</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502.12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139</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07010000000000112</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502.12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140</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502.12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141</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502.12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142</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502.12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143</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502.12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144</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502.12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145</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502.12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146</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07010000000000852</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502.12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147</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07010000000000853</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502.12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148</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10040000000000321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502.12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149</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07010000000000130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504.11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150</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07010000000000130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504.11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151</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07010000000000180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504.11</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152</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504.12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153</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504.12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154</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504.12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155</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07010000000000112</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504.12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156</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504.12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157</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504.12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158</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504.12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159</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504.12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160</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504.12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161</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504.12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162</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07010000000000852</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504.12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163</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07010000000000853</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504.12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164</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10040000000000321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504.12</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165</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506.10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166</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506.10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167</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506.10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168</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07010000000000112</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506.10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169</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506.10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170</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506.10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171</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07010000000000119</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506.10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172</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506.10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173</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506.10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174</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07010000000000244</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506.10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175</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10040000000000321</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506.10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176</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07010000000000130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507.10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177</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07010000000000130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507.10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178</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07010000000000180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507.10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179</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07010000000000180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507.10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178</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07010000000000130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508.10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181</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07010000000000130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4</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508.10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182</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07010000000000180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2</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508.10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r>
        <w:trPr>
          <w:trHeight w:val="222" w:hRule="atLeast"/>
        </w:trPr>
        <w:tc>
          <w:tcPr>
            <w:tcW w:w="1016" w:type="dxa"/>
            <w:tcBorders>
              <w:left w:val="single" w:sz="4" w:space="0" w:color="000000"/>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183</w:t>
            </w:r>
          </w:p>
        </w:tc>
        <w:tc>
          <w:tcPr>
            <w:tcW w:w="2444"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07010000000000180</w:t>
            </w:r>
          </w:p>
        </w:tc>
        <w:tc>
          <w:tcPr>
            <w:tcW w:w="2156" w:type="dxa"/>
            <w:tcBorders>
              <w:bottom w:val="single" w:sz="4" w:space="0" w:color="000000"/>
              <w:right w:val="single" w:sz="4" w:space="0" w:color="000000"/>
            </w:tcBorders>
            <w:shd w:color="000000" w:fill="FFFFFF" w:val="clear"/>
          </w:tcPr>
          <w:p>
            <w:pPr>
              <w:pStyle w:val="Normal"/>
              <w:widowControl w:val="false"/>
              <w:spacing w:lineRule="auto" w:line="240" w:beforeAutospacing="1" w:after="0"/>
              <w:jc w:val="center"/>
              <w:rPr>
                <w:rFonts w:ascii="Times New Roman" w:hAnsi="Times New Roman"/>
                <w:color w:val="000000"/>
                <w:sz w:val="24"/>
                <w:szCs w:val="24"/>
              </w:rPr>
            </w:pPr>
            <w:r>
              <w:rPr>
                <w:rFonts w:ascii="Times New Roman" w:hAnsi="Times New Roman"/>
                <w:color w:val="000000"/>
                <w:sz w:val="24"/>
                <w:szCs w:val="24"/>
              </w:rPr>
              <w:t>5</w:t>
            </w:r>
          </w:p>
        </w:tc>
        <w:tc>
          <w:tcPr>
            <w:tcW w:w="174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508.10</w:t>
            </w:r>
          </w:p>
        </w:tc>
        <w:tc>
          <w:tcPr>
            <w:tcW w:w="1562" w:type="dxa"/>
            <w:tcBorders>
              <w:bottom w:val="single" w:sz="4" w:space="0" w:color="000000"/>
              <w:right w:val="single" w:sz="4" w:space="0" w:color="000000"/>
            </w:tcBorders>
            <w:shd w:color="000000" w:fill="FFFFFF" w:val="clear"/>
          </w:tcPr>
          <w:p>
            <w:pPr>
              <w:pStyle w:val="Normal"/>
              <w:widowControl w:val="false"/>
              <w:spacing w:lineRule="auto" w:line="240" w:beforeAutospacing="1" w:after="0"/>
              <w:rPr>
                <w:rFonts w:ascii="Times New Roman" w:hAnsi="Times New Roman"/>
                <w:color w:val="000000"/>
                <w:sz w:val="24"/>
                <w:szCs w:val="24"/>
              </w:rPr>
            </w:pPr>
            <w:r>
              <w:rPr>
                <w:rFonts w:ascii="Times New Roman" w:hAnsi="Times New Roman"/>
                <w:color w:val="000000"/>
                <w:sz w:val="24"/>
                <w:szCs w:val="24"/>
              </w:rPr>
              <w:t>АУ и БУ</w:t>
            </w:r>
          </w:p>
        </w:tc>
      </w:tr>
    </w:tbl>
    <w:p>
      <w:pPr>
        <w:pStyle w:val="Normal"/>
        <w:spacing w:lineRule="auto" w:line="240" w:beforeAutospacing="1" w:afterAutospacing="1"/>
        <w:rPr>
          <w:rFonts w:ascii="Times New Roman" w:hAnsi="Times New Roman"/>
          <w:sz w:val="24"/>
          <w:szCs w:val="24"/>
        </w:rPr>
      </w:pPr>
      <w:r>
        <w:rPr>
          <w:rFonts w:ascii="Times New Roman" w:hAnsi="Times New Roman"/>
          <w:sz w:val="24"/>
          <w:szCs w:val="24"/>
        </w:rPr>
      </w:r>
    </w:p>
    <w:p>
      <w:pPr>
        <w:pStyle w:val="ConsPlusNormal"/>
        <w:numPr>
          <w:ilvl w:val="0"/>
          <w:numId w:val="0"/>
        </w:numPr>
        <w:spacing w:beforeAutospacing="1" w:afterAutospacing="1"/>
        <w:ind w:left="0" w:firstLine="720"/>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spacing w:beforeAutospacing="1" w:afterAutospacing="1"/>
        <w:ind w:left="0" w:firstLine="720"/>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spacing w:beforeAutospacing="1" w:afterAutospacing="1"/>
        <w:ind w:left="0" w:firstLine="720"/>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spacing w:beforeAutospacing="1" w:afterAutospacing="1"/>
        <w:ind w:left="0" w:firstLine="720"/>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spacing w:beforeAutospacing="1" w:afterAutospacing="1"/>
        <w:ind w:left="0" w:hanging="0"/>
        <w:jc w:val="right"/>
        <w:outlineLvl w:val="0"/>
        <w:rPr>
          <w:rFonts w:ascii="Times New Roman" w:hAnsi="Times New Roman"/>
          <w:sz w:val="24"/>
          <w:szCs w:val="24"/>
        </w:rPr>
      </w:pPr>
      <w:r>
        <w:rPr>
          <w:rFonts w:ascii="Times New Roman" w:hAnsi="Times New Roman"/>
          <w:sz w:val="24"/>
          <w:szCs w:val="24"/>
        </w:rPr>
      </w:r>
    </w:p>
    <w:p>
      <w:pPr>
        <w:pStyle w:val="Normal"/>
        <w:spacing w:lineRule="auto" w:line="240" w:before="0" w:after="0"/>
        <w:jc w:val="right"/>
        <w:rPr>
          <w:rFonts w:ascii="Times New Roman" w:hAnsi="Times New Roman"/>
          <w:sz w:val="24"/>
          <w:szCs w:val="24"/>
        </w:rPr>
      </w:pPr>
      <w:r>
        <w:rPr>
          <w:rFonts w:ascii="Times New Roman" w:hAnsi="Times New Roman"/>
          <w:sz w:val="24"/>
          <w:szCs w:val="24"/>
        </w:rPr>
        <w:t>Приложение № 3</w:t>
      </w:r>
    </w:p>
    <w:p>
      <w:pPr>
        <w:pStyle w:val="Normal"/>
        <w:spacing w:lineRule="auto" w:line="240" w:before="0" w:after="0"/>
        <w:jc w:val="right"/>
        <w:rPr>
          <w:rFonts w:ascii="Times New Roman" w:hAnsi="Times New Roman"/>
          <w:sz w:val="24"/>
          <w:szCs w:val="24"/>
        </w:rPr>
      </w:pPr>
      <w:r>
        <w:rPr>
          <w:rFonts w:ascii="Times New Roman" w:hAnsi="Times New Roman"/>
          <w:sz w:val="24"/>
          <w:szCs w:val="24"/>
        </w:rPr>
        <w:t>к Учетной политике</w:t>
      </w:r>
      <w:r>
        <w:rPr>
          <w:rFonts w:ascii="Times New Roman" w:hAnsi="Times New Roman"/>
        </w:rPr>
        <w:t xml:space="preserve"> </w:t>
      </w:r>
      <w:r>
        <w:rPr>
          <w:rFonts w:ascii="Times New Roman" w:hAnsi="Times New Roman"/>
          <w:sz w:val="24"/>
          <w:szCs w:val="24"/>
        </w:rPr>
        <w:t>от 11.01.2021г.</w:t>
      </w:r>
    </w:p>
    <w:p>
      <w:pPr>
        <w:pStyle w:val="Normal"/>
        <w:spacing w:lineRule="auto" w:line="240" w:beforeAutospacing="1" w:afterAutospacing="1"/>
        <w:jc w:val="center"/>
        <w:rPr>
          <w:shd w:fill="FFFFFF" w:val="clear"/>
        </w:rPr>
      </w:pPr>
      <w:r>
        <w:rPr>
          <w:rFonts w:ascii="Times New Roman" w:hAnsi="Times New Roman"/>
          <w:b/>
          <w:sz w:val="24"/>
          <w:szCs w:val="24"/>
          <w:shd w:fill="FFFFFF" w:val="clear"/>
        </w:rPr>
        <w:t>График документооборота</w:t>
      </w:r>
    </w:p>
    <w:tbl>
      <w:tblPr>
        <w:tblW w:w="10490" w:type="dxa"/>
        <w:jc w:val="left"/>
        <w:tblInd w:w="-459" w:type="dxa"/>
        <w:tblLayout w:type="fixed"/>
        <w:tblCellMar>
          <w:top w:w="0" w:type="dxa"/>
          <w:left w:w="108" w:type="dxa"/>
          <w:bottom w:w="0" w:type="dxa"/>
          <w:right w:w="108" w:type="dxa"/>
        </w:tblCellMar>
        <w:tblLook w:val="0000"/>
      </w:tblPr>
      <w:tblGrid>
        <w:gridCol w:w="567"/>
        <w:gridCol w:w="1697"/>
        <w:gridCol w:w="2651"/>
        <w:gridCol w:w="3295"/>
        <w:gridCol w:w="2280"/>
      </w:tblGrid>
      <w:tr>
        <w:trPr>
          <w:trHeight w:val="722"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пп</w:t>
            </w:r>
          </w:p>
        </w:tc>
        <w:tc>
          <w:tcPr>
            <w:tcW w:w="16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Форма</w:t>
            </w:r>
          </w:p>
        </w:tc>
        <w:tc>
          <w:tcPr>
            <w:tcW w:w="26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ind w:left="-57" w:hanging="0"/>
              <w:rPr>
                <w:rFonts w:ascii="Times New Roman" w:hAnsi="Times New Roman"/>
                <w:sz w:val="24"/>
                <w:szCs w:val="24"/>
              </w:rPr>
            </w:pPr>
            <w:r>
              <w:rPr>
                <w:rFonts w:ascii="Times New Roman" w:hAnsi="Times New Roman"/>
                <w:sz w:val="24"/>
                <w:szCs w:val="24"/>
              </w:rPr>
              <w:t xml:space="preserve">Ответственный за </w:t>
            </w:r>
            <w:r>
              <w:rPr>
                <w:rFonts w:ascii="Times New Roman" w:hAnsi="Times New Roman"/>
                <w:sz w:val="24"/>
                <w:szCs w:val="24"/>
                <w:lang w:eastAsia="en-US"/>
              </w:rPr>
              <w:t>составление и представление документа</w:t>
            </w:r>
          </w:p>
        </w:tc>
        <w:tc>
          <w:tcPr>
            <w:tcW w:w="32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Срок предоставления в бухгалтерию</w:t>
            </w:r>
          </w:p>
        </w:tc>
        <w:tc>
          <w:tcPr>
            <w:tcW w:w="2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Лицо, ответственное за его принятие документа к учету</w:t>
            </w:r>
          </w:p>
        </w:tc>
      </w:tr>
      <w:tr>
        <w:trPr>
          <w:trHeight w:val="1556"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1</w:t>
            </w:r>
          </w:p>
        </w:tc>
        <w:tc>
          <w:tcPr>
            <w:tcW w:w="16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Приказ о приеме работника на работу</w:t>
            </w:r>
          </w:p>
        </w:tc>
        <w:tc>
          <w:tcPr>
            <w:tcW w:w="26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Заведующий</w:t>
            </w:r>
          </w:p>
        </w:tc>
        <w:tc>
          <w:tcPr>
            <w:tcW w:w="32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Не позднее первого рабочего дня вновь принимаемого работника</w:t>
            </w:r>
          </w:p>
        </w:tc>
        <w:tc>
          <w:tcPr>
            <w:tcW w:w="2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Бухгалтер,</w:t>
            </w:r>
          </w:p>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Главный бухгалтер</w:t>
            </w:r>
          </w:p>
        </w:tc>
      </w:tr>
      <w:tr>
        <w:trPr>
          <w:trHeight w:val="1556" w:hRule="atLeast"/>
        </w:trPr>
        <w:tc>
          <w:tcPr>
            <w:tcW w:w="56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2</w:t>
            </w:r>
          </w:p>
        </w:tc>
        <w:tc>
          <w:tcPr>
            <w:tcW w:w="169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Приказ о переводе работника на другую работу</w:t>
            </w:r>
          </w:p>
        </w:tc>
        <w:tc>
          <w:tcPr>
            <w:tcW w:w="2651"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Заведующий</w:t>
            </w:r>
          </w:p>
        </w:tc>
        <w:tc>
          <w:tcPr>
            <w:tcW w:w="3295"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До 25 числа отчетного месяца</w:t>
            </w:r>
          </w:p>
        </w:tc>
        <w:tc>
          <w:tcPr>
            <w:tcW w:w="2280"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Бухгалтер,</w:t>
            </w:r>
          </w:p>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Главный бухгалтер</w:t>
            </w:r>
          </w:p>
        </w:tc>
      </w:tr>
      <w:tr>
        <w:trPr>
          <w:trHeight w:val="1556" w:hRule="atLeast"/>
        </w:trPr>
        <w:tc>
          <w:tcPr>
            <w:tcW w:w="56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3</w:t>
            </w:r>
          </w:p>
        </w:tc>
        <w:tc>
          <w:tcPr>
            <w:tcW w:w="169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Приказ о предоставлении отпуска работнику</w:t>
            </w:r>
          </w:p>
        </w:tc>
        <w:tc>
          <w:tcPr>
            <w:tcW w:w="2651"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Заведующий</w:t>
            </w:r>
          </w:p>
        </w:tc>
        <w:tc>
          <w:tcPr>
            <w:tcW w:w="3295"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Не позднее, чем за 3 дня до начала отпуска работника</w:t>
            </w:r>
          </w:p>
        </w:tc>
        <w:tc>
          <w:tcPr>
            <w:tcW w:w="2280"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Бухгалтер,</w:t>
            </w:r>
          </w:p>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Главный бухгалтер</w:t>
            </w:r>
          </w:p>
        </w:tc>
      </w:tr>
      <w:tr>
        <w:trPr>
          <w:trHeight w:val="1556" w:hRule="atLeast"/>
        </w:trPr>
        <w:tc>
          <w:tcPr>
            <w:tcW w:w="56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4</w:t>
            </w:r>
          </w:p>
        </w:tc>
        <w:tc>
          <w:tcPr>
            <w:tcW w:w="169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Приказ о прекращении действия трудового договора с работником</w:t>
            </w:r>
          </w:p>
        </w:tc>
        <w:tc>
          <w:tcPr>
            <w:tcW w:w="2651"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Заведующий</w:t>
            </w:r>
          </w:p>
        </w:tc>
        <w:tc>
          <w:tcPr>
            <w:tcW w:w="3295"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Не позднее, чем за дня до последнего рабочего дня увольняемого работника</w:t>
            </w:r>
          </w:p>
        </w:tc>
        <w:tc>
          <w:tcPr>
            <w:tcW w:w="2280"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Бухгалтер,</w:t>
            </w:r>
          </w:p>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Главный бухгалтер</w:t>
            </w:r>
          </w:p>
        </w:tc>
      </w:tr>
      <w:tr>
        <w:trPr>
          <w:trHeight w:val="1556" w:hRule="atLeast"/>
        </w:trPr>
        <w:tc>
          <w:tcPr>
            <w:tcW w:w="56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5</w:t>
            </w:r>
          </w:p>
        </w:tc>
        <w:tc>
          <w:tcPr>
            <w:tcW w:w="169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Приказ о поощрении работника</w:t>
            </w:r>
          </w:p>
        </w:tc>
        <w:tc>
          <w:tcPr>
            <w:tcW w:w="2651"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Заведующий</w:t>
            </w:r>
          </w:p>
        </w:tc>
        <w:tc>
          <w:tcPr>
            <w:tcW w:w="3295"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До 25 числа отчетного месяца</w:t>
            </w:r>
          </w:p>
        </w:tc>
        <w:tc>
          <w:tcPr>
            <w:tcW w:w="2280"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Бухгалтер,</w:t>
            </w:r>
          </w:p>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Главный бухгалтер</w:t>
            </w:r>
          </w:p>
        </w:tc>
      </w:tr>
      <w:tr>
        <w:trPr>
          <w:trHeight w:val="1556" w:hRule="atLeast"/>
        </w:trPr>
        <w:tc>
          <w:tcPr>
            <w:tcW w:w="56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6</w:t>
            </w:r>
          </w:p>
        </w:tc>
        <w:tc>
          <w:tcPr>
            <w:tcW w:w="169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Табель учета использования рабочего времени Ф504421</w:t>
            </w:r>
          </w:p>
        </w:tc>
        <w:tc>
          <w:tcPr>
            <w:tcW w:w="2651"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Заведующий</w:t>
            </w:r>
          </w:p>
        </w:tc>
        <w:tc>
          <w:tcPr>
            <w:tcW w:w="3295"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До 25 числа отчетного месяца</w:t>
            </w:r>
          </w:p>
        </w:tc>
        <w:tc>
          <w:tcPr>
            <w:tcW w:w="2280"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Бухгалтер,</w:t>
            </w:r>
          </w:p>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r>
      <w:tr>
        <w:trPr>
          <w:trHeight w:val="1556" w:hRule="atLeast"/>
        </w:trPr>
        <w:tc>
          <w:tcPr>
            <w:tcW w:w="56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7</w:t>
            </w:r>
          </w:p>
        </w:tc>
        <w:tc>
          <w:tcPr>
            <w:tcW w:w="169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Договоры (контракты) с поставщиками и подрядчиками</w:t>
            </w:r>
          </w:p>
        </w:tc>
        <w:tc>
          <w:tcPr>
            <w:tcW w:w="2651"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Контрактный управляющий</w:t>
            </w:r>
          </w:p>
        </w:tc>
        <w:tc>
          <w:tcPr>
            <w:tcW w:w="3295"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Не позднее 2-х рабочих дней после заключения договора (контракта)</w:t>
            </w:r>
          </w:p>
        </w:tc>
        <w:tc>
          <w:tcPr>
            <w:tcW w:w="2280"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r>
      <w:tr>
        <w:trPr>
          <w:trHeight w:val="1556" w:hRule="atLeast"/>
        </w:trPr>
        <w:tc>
          <w:tcPr>
            <w:tcW w:w="56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8</w:t>
            </w:r>
          </w:p>
        </w:tc>
        <w:tc>
          <w:tcPr>
            <w:tcW w:w="169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Платежное поручение  на оплату товаров, работ, услуг</w:t>
            </w:r>
          </w:p>
        </w:tc>
        <w:tc>
          <w:tcPr>
            <w:tcW w:w="2651"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c>
          <w:tcPr>
            <w:tcW w:w="3295"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По необходимости</w:t>
            </w:r>
          </w:p>
        </w:tc>
        <w:tc>
          <w:tcPr>
            <w:tcW w:w="2280"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r>
      <w:tr>
        <w:trPr>
          <w:trHeight w:val="1556" w:hRule="atLeast"/>
        </w:trPr>
        <w:tc>
          <w:tcPr>
            <w:tcW w:w="56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9</w:t>
            </w:r>
          </w:p>
        </w:tc>
        <w:tc>
          <w:tcPr>
            <w:tcW w:w="169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Журнал операций с безналичными денежными средствами</w:t>
            </w:r>
          </w:p>
        </w:tc>
        <w:tc>
          <w:tcPr>
            <w:tcW w:w="2651"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c>
          <w:tcPr>
            <w:tcW w:w="3295"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Ежемесячно</w:t>
            </w:r>
          </w:p>
        </w:tc>
        <w:tc>
          <w:tcPr>
            <w:tcW w:w="2280"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r>
      <w:tr>
        <w:trPr>
          <w:trHeight w:val="1556" w:hRule="atLeast"/>
        </w:trPr>
        <w:tc>
          <w:tcPr>
            <w:tcW w:w="56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10</w:t>
            </w:r>
          </w:p>
        </w:tc>
        <w:tc>
          <w:tcPr>
            <w:tcW w:w="169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Акты выполненных работ, счета-фактуры, товарные накладные</w:t>
            </w:r>
          </w:p>
        </w:tc>
        <w:tc>
          <w:tcPr>
            <w:tcW w:w="2651"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c>
          <w:tcPr>
            <w:tcW w:w="3295"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Ежемесячно</w:t>
            </w:r>
          </w:p>
        </w:tc>
        <w:tc>
          <w:tcPr>
            <w:tcW w:w="2280"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r>
      <w:tr>
        <w:trPr>
          <w:trHeight w:val="1556" w:hRule="atLeast"/>
        </w:trPr>
        <w:tc>
          <w:tcPr>
            <w:tcW w:w="56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11</w:t>
            </w:r>
          </w:p>
        </w:tc>
        <w:tc>
          <w:tcPr>
            <w:tcW w:w="169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Акты сверок взаимных расчетов</w:t>
            </w:r>
          </w:p>
        </w:tc>
        <w:tc>
          <w:tcPr>
            <w:tcW w:w="2651"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c>
          <w:tcPr>
            <w:tcW w:w="3295"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Ежеквартально</w:t>
            </w:r>
          </w:p>
        </w:tc>
        <w:tc>
          <w:tcPr>
            <w:tcW w:w="2280"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r>
      <w:tr>
        <w:trPr>
          <w:trHeight w:val="1556" w:hRule="atLeast"/>
        </w:trPr>
        <w:tc>
          <w:tcPr>
            <w:tcW w:w="56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12</w:t>
            </w:r>
          </w:p>
        </w:tc>
        <w:tc>
          <w:tcPr>
            <w:tcW w:w="169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Главная книга</w:t>
            </w:r>
          </w:p>
        </w:tc>
        <w:tc>
          <w:tcPr>
            <w:tcW w:w="2651"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c>
          <w:tcPr>
            <w:tcW w:w="3295"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Ежегодно</w:t>
            </w:r>
          </w:p>
        </w:tc>
        <w:tc>
          <w:tcPr>
            <w:tcW w:w="2280"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r>
      <w:tr>
        <w:trPr>
          <w:trHeight w:val="1556" w:hRule="atLeast"/>
        </w:trPr>
        <w:tc>
          <w:tcPr>
            <w:tcW w:w="56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13</w:t>
            </w:r>
          </w:p>
        </w:tc>
        <w:tc>
          <w:tcPr>
            <w:tcW w:w="169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Журнал по санкционированию</w:t>
            </w:r>
          </w:p>
        </w:tc>
        <w:tc>
          <w:tcPr>
            <w:tcW w:w="2651"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c>
          <w:tcPr>
            <w:tcW w:w="3295"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Ежемесячно</w:t>
            </w:r>
          </w:p>
        </w:tc>
        <w:tc>
          <w:tcPr>
            <w:tcW w:w="2280"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r>
      <w:tr>
        <w:trPr>
          <w:trHeight w:val="1556" w:hRule="atLeast"/>
        </w:trPr>
        <w:tc>
          <w:tcPr>
            <w:tcW w:w="56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14</w:t>
            </w:r>
          </w:p>
        </w:tc>
        <w:tc>
          <w:tcPr>
            <w:tcW w:w="169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Многографная карточка</w:t>
            </w:r>
          </w:p>
        </w:tc>
        <w:tc>
          <w:tcPr>
            <w:tcW w:w="2651"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c>
          <w:tcPr>
            <w:tcW w:w="3295"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По необходимости</w:t>
            </w:r>
          </w:p>
        </w:tc>
        <w:tc>
          <w:tcPr>
            <w:tcW w:w="2280"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r>
      <w:tr>
        <w:trPr>
          <w:trHeight w:val="1556" w:hRule="atLeast"/>
        </w:trPr>
        <w:tc>
          <w:tcPr>
            <w:tcW w:w="56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15</w:t>
            </w:r>
          </w:p>
        </w:tc>
        <w:tc>
          <w:tcPr>
            <w:tcW w:w="169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Бухгалтерская справка</w:t>
            </w:r>
          </w:p>
        </w:tc>
        <w:tc>
          <w:tcPr>
            <w:tcW w:w="2651"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Бухгалтер</w:t>
            </w:r>
          </w:p>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c>
          <w:tcPr>
            <w:tcW w:w="3295"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По необходимости</w:t>
            </w:r>
          </w:p>
        </w:tc>
        <w:tc>
          <w:tcPr>
            <w:tcW w:w="2280"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Бухгалтер</w:t>
            </w:r>
          </w:p>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r>
      <w:tr>
        <w:trPr>
          <w:trHeight w:val="1556" w:hRule="atLeast"/>
        </w:trPr>
        <w:tc>
          <w:tcPr>
            <w:tcW w:w="56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16</w:t>
            </w:r>
          </w:p>
        </w:tc>
        <w:tc>
          <w:tcPr>
            <w:tcW w:w="169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lang w:eastAsia="en-US"/>
              </w:rPr>
            </w:pPr>
            <w:r>
              <w:rPr>
                <w:rFonts w:ascii="Times New Roman" w:hAnsi="Times New Roman"/>
                <w:sz w:val="24"/>
                <w:szCs w:val="24"/>
                <w:lang w:eastAsia="en-US"/>
              </w:rPr>
              <w:t>Журнал операций расчетов по оплате труда</w:t>
            </w:r>
          </w:p>
        </w:tc>
        <w:tc>
          <w:tcPr>
            <w:tcW w:w="2651"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Бухгалтер</w:t>
            </w:r>
          </w:p>
        </w:tc>
        <w:tc>
          <w:tcPr>
            <w:tcW w:w="3295"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Ежемесячно</w:t>
            </w:r>
          </w:p>
        </w:tc>
        <w:tc>
          <w:tcPr>
            <w:tcW w:w="2280"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Бухгалтер,</w:t>
            </w:r>
          </w:p>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r>
      <w:tr>
        <w:trPr>
          <w:trHeight w:val="1556" w:hRule="atLeast"/>
        </w:trPr>
        <w:tc>
          <w:tcPr>
            <w:tcW w:w="56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17</w:t>
            </w:r>
          </w:p>
        </w:tc>
        <w:tc>
          <w:tcPr>
            <w:tcW w:w="169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Меню-требование на выдачу продуктов питания  ф0504202</w:t>
            </w:r>
          </w:p>
        </w:tc>
        <w:tc>
          <w:tcPr>
            <w:tcW w:w="2651"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 xml:space="preserve">Зам.зав.по АХР, </w:t>
            </w:r>
            <w:r>
              <w:rPr>
                <w:rFonts w:ascii="Times New Roman" w:hAnsi="Times New Roman"/>
                <w:sz w:val="24"/>
                <w:szCs w:val="24"/>
                <w:lang w:eastAsia="en-US"/>
              </w:rPr>
              <w:t>Инструктор по гигиеническому воспитанию</w:t>
            </w:r>
          </w:p>
        </w:tc>
        <w:tc>
          <w:tcPr>
            <w:tcW w:w="3295"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Ежедневно</w:t>
            </w:r>
          </w:p>
        </w:tc>
        <w:tc>
          <w:tcPr>
            <w:tcW w:w="2280"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eastAsia="en-US"/>
              </w:rPr>
              <w:t>Бухгалтер,</w:t>
            </w:r>
          </w:p>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r>
      <w:tr>
        <w:trPr>
          <w:trHeight w:val="169"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18</w:t>
            </w:r>
          </w:p>
        </w:tc>
        <w:tc>
          <w:tcPr>
            <w:tcW w:w="16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Требование-накладная Ф504204</w:t>
            </w:r>
          </w:p>
        </w:tc>
        <w:tc>
          <w:tcPr>
            <w:tcW w:w="26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Зам.зав.по АХР</w:t>
            </w:r>
          </w:p>
        </w:tc>
        <w:tc>
          <w:tcPr>
            <w:tcW w:w="32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В течение 3-х дней с момента подписания,</w:t>
            </w:r>
          </w:p>
        </w:tc>
        <w:tc>
          <w:tcPr>
            <w:tcW w:w="2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Бухгалтер,</w:t>
            </w:r>
          </w:p>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r>
      <w:tr>
        <w:trPr>
          <w:trHeight w:val="169" w:hRule="atLeast"/>
        </w:trPr>
        <w:tc>
          <w:tcPr>
            <w:tcW w:w="56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19</w:t>
            </w:r>
          </w:p>
        </w:tc>
        <w:tc>
          <w:tcPr>
            <w:tcW w:w="169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Книги складского учета</w:t>
            </w:r>
          </w:p>
        </w:tc>
        <w:tc>
          <w:tcPr>
            <w:tcW w:w="2651"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Зам.зав.по АХР</w:t>
            </w:r>
          </w:p>
        </w:tc>
        <w:tc>
          <w:tcPr>
            <w:tcW w:w="3295"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Ежемесячно</w:t>
            </w:r>
          </w:p>
        </w:tc>
        <w:tc>
          <w:tcPr>
            <w:tcW w:w="2280"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Бухгалтер,</w:t>
            </w:r>
          </w:p>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r>
      <w:tr>
        <w:trPr>
          <w:trHeight w:val="653"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20</w:t>
            </w:r>
          </w:p>
        </w:tc>
        <w:tc>
          <w:tcPr>
            <w:tcW w:w="16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Табель  учета посещаемости детей Ф0504608</w:t>
            </w:r>
          </w:p>
        </w:tc>
        <w:tc>
          <w:tcPr>
            <w:tcW w:w="26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Воспитатели</w:t>
            </w:r>
          </w:p>
        </w:tc>
        <w:tc>
          <w:tcPr>
            <w:tcW w:w="32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Не позднее  последнего календарного дня месяца</w:t>
            </w:r>
          </w:p>
        </w:tc>
        <w:tc>
          <w:tcPr>
            <w:tcW w:w="2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Бухгалтер,</w:t>
            </w:r>
          </w:p>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r>
      <w:tr>
        <w:trPr>
          <w:trHeight w:val="718"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21</w:t>
            </w:r>
          </w:p>
        </w:tc>
        <w:tc>
          <w:tcPr>
            <w:tcW w:w="16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Акт о списании мягкого и хозяйственного инвентаря Ф504143</w:t>
            </w:r>
          </w:p>
        </w:tc>
        <w:tc>
          <w:tcPr>
            <w:tcW w:w="26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Зам.зав.по АХР</w:t>
            </w:r>
          </w:p>
        </w:tc>
        <w:tc>
          <w:tcPr>
            <w:tcW w:w="32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Не позднее  последнего календарного дня месяца</w:t>
            </w:r>
          </w:p>
        </w:tc>
        <w:tc>
          <w:tcPr>
            <w:tcW w:w="2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Бухгалтер,</w:t>
            </w:r>
          </w:p>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r>
      <w:tr>
        <w:trPr>
          <w:trHeight w:val="30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22</w:t>
            </w:r>
          </w:p>
        </w:tc>
        <w:tc>
          <w:tcPr>
            <w:tcW w:w="16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Ведомость выдачи материальных ценностей на нужды учреждения      Ф 0504210</w:t>
            </w:r>
          </w:p>
        </w:tc>
        <w:tc>
          <w:tcPr>
            <w:tcW w:w="26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Зам.зав.по АХР</w:t>
            </w:r>
          </w:p>
        </w:tc>
        <w:tc>
          <w:tcPr>
            <w:tcW w:w="32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Не позднее  последнего календарного дня месяца</w:t>
            </w:r>
          </w:p>
        </w:tc>
        <w:tc>
          <w:tcPr>
            <w:tcW w:w="2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Бухгалтер,</w:t>
            </w:r>
          </w:p>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r>
      <w:tr>
        <w:trPr>
          <w:trHeight w:val="30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23</w:t>
            </w:r>
          </w:p>
        </w:tc>
        <w:tc>
          <w:tcPr>
            <w:tcW w:w="16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Акт о списании материальных запасов Ф504230</w:t>
            </w:r>
          </w:p>
        </w:tc>
        <w:tc>
          <w:tcPr>
            <w:tcW w:w="26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Зам.зав.по АХР</w:t>
            </w:r>
          </w:p>
        </w:tc>
        <w:tc>
          <w:tcPr>
            <w:tcW w:w="32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Не позднее  последнего календарного дня месяца</w:t>
            </w:r>
          </w:p>
        </w:tc>
        <w:tc>
          <w:tcPr>
            <w:tcW w:w="2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Бухгалтер,</w:t>
            </w:r>
          </w:p>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r>
      <w:tr>
        <w:trPr>
          <w:trHeight w:val="30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24</w:t>
            </w:r>
          </w:p>
        </w:tc>
        <w:tc>
          <w:tcPr>
            <w:tcW w:w="16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Акт о списании бланков строгой отчетности Ф504816</w:t>
            </w:r>
          </w:p>
        </w:tc>
        <w:tc>
          <w:tcPr>
            <w:tcW w:w="26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Бухгалтер</w:t>
            </w:r>
          </w:p>
        </w:tc>
        <w:tc>
          <w:tcPr>
            <w:tcW w:w="32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Не позднее  последнего календарного дня месяца</w:t>
            </w:r>
          </w:p>
        </w:tc>
        <w:tc>
          <w:tcPr>
            <w:tcW w:w="2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Бухгалтер,</w:t>
            </w:r>
          </w:p>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r>
      <w:tr>
        <w:trPr>
          <w:trHeight w:val="30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25</w:t>
            </w:r>
          </w:p>
        </w:tc>
        <w:tc>
          <w:tcPr>
            <w:tcW w:w="16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Бухгалтерская справка Ф504833</w:t>
            </w:r>
          </w:p>
        </w:tc>
        <w:tc>
          <w:tcPr>
            <w:tcW w:w="26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Бухгалтер</w:t>
            </w:r>
          </w:p>
        </w:tc>
        <w:tc>
          <w:tcPr>
            <w:tcW w:w="32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Не позднее  последнего календарного дня месяца</w:t>
            </w:r>
          </w:p>
        </w:tc>
        <w:tc>
          <w:tcPr>
            <w:tcW w:w="2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Бухгалтер,</w:t>
            </w:r>
          </w:p>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r>
      <w:tr>
        <w:trPr>
          <w:trHeight w:val="549"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26</w:t>
            </w:r>
          </w:p>
        </w:tc>
        <w:tc>
          <w:tcPr>
            <w:tcW w:w="16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Autospacing="1"/>
              <w:rPr>
                <w:rFonts w:ascii="Times New Roman" w:hAnsi="Times New Roman"/>
                <w:sz w:val="24"/>
                <w:szCs w:val="24"/>
              </w:rPr>
            </w:pPr>
            <w:r>
              <w:rPr>
                <w:rFonts w:ascii="Times New Roman" w:hAnsi="Times New Roman"/>
                <w:sz w:val="24"/>
                <w:szCs w:val="24"/>
              </w:rPr>
              <w:t>Акт о результатах инвентаризации</w:t>
            </w:r>
          </w:p>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Ф504082,504086,504087,504088,504089, 504091,504092</w:t>
            </w:r>
          </w:p>
        </w:tc>
        <w:tc>
          <w:tcPr>
            <w:tcW w:w="26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Бухгалтер, главный бухгалтер</w:t>
            </w:r>
          </w:p>
        </w:tc>
        <w:tc>
          <w:tcPr>
            <w:tcW w:w="32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В течение 3-х дней с момента подписания</w:t>
            </w:r>
          </w:p>
        </w:tc>
        <w:tc>
          <w:tcPr>
            <w:tcW w:w="2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Бухгалтер,</w:t>
            </w:r>
          </w:p>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r>
      <w:tr>
        <w:trPr>
          <w:trHeight w:val="30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ind w:left="-57" w:hanging="0"/>
              <w:rPr>
                <w:rFonts w:ascii="Times New Roman" w:hAnsi="Times New Roman"/>
                <w:sz w:val="24"/>
                <w:szCs w:val="24"/>
              </w:rPr>
            </w:pPr>
            <w:r>
              <w:rPr>
                <w:rFonts w:ascii="Times New Roman" w:hAnsi="Times New Roman"/>
                <w:sz w:val="24"/>
                <w:szCs w:val="24"/>
              </w:rPr>
              <w:t>27</w:t>
            </w:r>
          </w:p>
        </w:tc>
        <w:tc>
          <w:tcPr>
            <w:tcW w:w="16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Акт о приеме-передаче объектов нефинансовых активов Ф504101</w:t>
            </w:r>
          </w:p>
        </w:tc>
        <w:tc>
          <w:tcPr>
            <w:tcW w:w="26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Зам.зав.по АХР</w:t>
            </w:r>
          </w:p>
        </w:tc>
        <w:tc>
          <w:tcPr>
            <w:tcW w:w="32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Не позднее  последнего календарного дня месяца</w:t>
            </w:r>
          </w:p>
        </w:tc>
        <w:tc>
          <w:tcPr>
            <w:tcW w:w="2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Бухгалтер,</w:t>
            </w:r>
          </w:p>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r>
      <w:tr>
        <w:trPr>
          <w:trHeight w:val="30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ind w:left="-57" w:hanging="0"/>
              <w:rPr>
                <w:rFonts w:ascii="Times New Roman" w:hAnsi="Times New Roman"/>
                <w:sz w:val="24"/>
                <w:szCs w:val="24"/>
              </w:rPr>
            </w:pPr>
            <w:r>
              <w:rPr>
                <w:rFonts w:ascii="Times New Roman" w:hAnsi="Times New Roman"/>
                <w:sz w:val="24"/>
                <w:szCs w:val="24"/>
              </w:rPr>
              <w:t>28</w:t>
            </w:r>
          </w:p>
        </w:tc>
        <w:tc>
          <w:tcPr>
            <w:tcW w:w="16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Акт о списании объектов нефинансовых активов (кроме транспортных средств)Ф504104</w:t>
            </w:r>
          </w:p>
        </w:tc>
        <w:tc>
          <w:tcPr>
            <w:tcW w:w="26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Зам.зав.по АХР</w:t>
            </w:r>
          </w:p>
        </w:tc>
        <w:tc>
          <w:tcPr>
            <w:tcW w:w="32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Не позднее  последнего календарного дня месяца</w:t>
            </w:r>
          </w:p>
        </w:tc>
        <w:tc>
          <w:tcPr>
            <w:tcW w:w="2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Бухгалтер,</w:t>
            </w:r>
          </w:p>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r>
      <w:tr>
        <w:trPr>
          <w:trHeight w:val="30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ind w:left="-57" w:hanging="0"/>
              <w:rPr>
                <w:rFonts w:ascii="Times New Roman" w:hAnsi="Times New Roman"/>
                <w:sz w:val="24"/>
                <w:szCs w:val="24"/>
              </w:rPr>
            </w:pPr>
            <w:r>
              <w:rPr>
                <w:rFonts w:ascii="Times New Roman" w:hAnsi="Times New Roman"/>
                <w:sz w:val="24"/>
                <w:szCs w:val="24"/>
              </w:rPr>
              <w:t>29</w:t>
            </w:r>
          </w:p>
        </w:tc>
        <w:tc>
          <w:tcPr>
            <w:tcW w:w="16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Накладная на внутреннее перемещение объектов нефинансовых активовФ504102</w:t>
            </w:r>
          </w:p>
        </w:tc>
        <w:tc>
          <w:tcPr>
            <w:tcW w:w="26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Зам.зав.по АХР,</w:t>
            </w:r>
          </w:p>
        </w:tc>
        <w:tc>
          <w:tcPr>
            <w:tcW w:w="32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В течение 3-х дней с момента подписания,</w:t>
            </w:r>
          </w:p>
        </w:tc>
        <w:tc>
          <w:tcPr>
            <w:tcW w:w="2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Бухгалтер,</w:t>
            </w:r>
          </w:p>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r>
      <w:tr>
        <w:trPr>
          <w:trHeight w:val="30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ind w:left="-57" w:hanging="0"/>
              <w:rPr>
                <w:rFonts w:ascii="Times New Roman" w:hAnsi="Times New Roman"/>
                <w:sz w:val="24"/>
                <w:szCs w:val="24"/>
              </w:rPr>
            </w:pPr>
            <w:r>
              <w:rPr>
                <w:rFonts w:ascii="Times New Roman" w:hAnsi="Times New Roman"/>
                <w:sz w:val="24"/>
                <w:szCs w:val="24"/>
              </w:rPr>
              <w:t>30</w:t>
            </w:r>
          </w:p>
        </w:tc>
        <w:tc>
          <w:tcPr>
            <w:tcW w:w="16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Autospacing="1"/>
              <w:rPr>
                <w:rFonts w:ascii="Times New Roman" w:hAnsi="Times New Roman"/>
                <w:sz w:val="24"/>
                <w:szCs w:val="24"/>
              </w:rPr>
            </w:pPr>
            <w:r>
              <w:rPr>
                <w:rFonts w:ascii="Times New Roman" w:hAnsi="Times New Roman"/>
                <w:sz w:val="24"/>
                <w:szCs w:val="24"/>
              </w:rPr>
              <w:t>Акт о приемке материалов (материальных ценностей)</w:t>
            </w:r>
          </w:p>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Ф504220</w:t>
            </w:r>
          </w:p>
        </w:tc>
        <w:tc>
          <w:tcPr>
            <w:tcW w:w="26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Зам.зав.по АХР</w:t>
            </w:r>
          </w:p>
        </w:tc>
        <w:tc>
          <w:tcPr>
            <w:tcW w:w="32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В течение 3-х дней с момента подписания,</w:t>
            </w:r>
          </w:p>
        </w:tc>
        <w:tc>
          <w:tcPr>
            <w:tcW w:w="2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Бухгалтер,</w:t>
            </w:r>
          </w:p>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r>
      <w:tr>
        <w:trPr>
          <w:trHeight w:val="300" w:hRule="atLeast"/>
        </w:trPr>
        <w:tc>
          <w:tcPr>
            <w:tcW w:w="56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ind w:left="-57" w:hanging="0"/>
              <w:rPr>
                <w:rFonts w:ascii="Times New Roman" w:hAnsi="Times New Roman"/>
                <w:sz w:val="24"/>
                <w:szCs w:val="24"/>
              </w:rPr>
            </w:pPr>
            <w:r>
              <w:rPr>
                <w:rFonts w:ascii="Times New Roman" w:hAnsi="Times New Roman"/>
                <w:sz w:val="24"/>
                <w:szCs w:val="24"/>
              </w:rPr>
              <w:t>31</w:t>
            </w:r>
          </w:p>
        </w:tc>
        <w:tc>
          <w:tcPr>
            <w:tcW w:w="1697"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Акт о списании материальных запасов Ф504230</w:t>
            </w:r>
          </w:p>
        </w:tc>
        <w:tc>
          <w:tcPr>
            <w:tcW w:w="2651"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Зам.зав.по АХР,</w:t>
            </w:r>
          </w:p>
        </w:tc>
        <w:tc>
          <w:tcPr>
            <w:tcW w:w="3295"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rPr>
              <w:t>Не позднее  последнего календарного дня месяца</w:t>
            </w:r>
          </w:p>
        </w:tc>
        <w:tc>
          <w:tcPr>
            <w:tcW w:w="2280" w:type="dxa"/>
            <w:tcBorders>
              <w:left w:val="single" w:sz="4" w:space="0" w:color="000000"/>
              <w:bottom w:val="single" w:sz="4" w:space="0" w:color="000000"/>
              <w:right w:val="single" w:sz="4" w:space="0" w:color="000000"/>
            </w:tcBorders>
          </w:tcPr>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Бухгалтер,</w:t>
            </w:r>
          </w:p>
          <w:p>
            <w:pPr>
              <w:pStyle w:val="Normal"/>
              <w:widowControl w:val="false"/>
              <w:spacing w:lineRule="auto" w:line="240" w:beforeAutospacing="1" w:after="0"/>
              <w:rPr>
                <w:rFonts w:ascii="Times New Roman" w:hAnsi="Times New Roman"/>
                <w:sz w:val="24"/>
                <w:szCs w:val="24"/>
              </w:rPr>
            </w:pPr>
            <w:r>
              <w:rPr>
                <w:rFonts w:ascii="Times New Roman" w:hAnsi="Times New Roman"/>
                <w:sz w:val="24"/>
                <w:szCs w:val="24"/>
                <w:lang w:eastAsia="en-US"/>
              </w:rPr>
              <w:t>Главный бухгалтер</w:t>
            </w:r>
          </w:p>
        </w:tc>
      </w:tr>
    </w:tbl>
    <w:p>
      <w:pPr>
        <w:pStyle w:val="ConsPlusNormal"/>
        <w:numPr>
          <w:ilvl w:val="0"/>
          <w:numId w:val="0"/>
        </w:numPr>
        <w:spacing w:beforeAutospacing="1" w:afterAutospacing="1"/>
        <w:ind w:left="0" w:firstLine="720"/>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spacing w:beforeAutospacing="1" w:afterAutospacing="1"/>
        <w:ind w:left="0" w:firstLine="720"/>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spacing w:beforeAutospacing="1" w:afterAutospacing="1"/>
        <w:ind w:left="0" w:firstLine="720"/>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spacing w:beforeAutospacing="1" w:afterAutospacing="1"/>
        <w:ind w:left="0" w:firstLine="720"/>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spacing w:beforeAutospacing="1" w:afterAutospacing="1"/>
        <w:ind w:left="0" w:hanging="0"/>
        <w:jc w:val="right"/>
        <w:outlineLvl w:val="0"/>
        <w:rPr/>
      </w:pPr>
      <w:r>
        <w:rPr/>
      </w:r>
    </w:p>
    <w:p>
      <w:pPr>
        <w:pStyle w:val="ConsPlusNormal"/>
        <w:numPr>
          <w:ilvl w:val="0"/>
          <w:numId w:val="0"/>
        </w:numPr>
        <w:ind w:left="0" w:hanging="0"/>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ind w:left="0" w:firstLine="720"/>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ind w:left="0" w:firstLine="720"/>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ind w:left="0" w:firstLine="720"/>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ind w:left="0" w:firstLine="720"/>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ind w:left="0" w:firstLine="720"/>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ind w:left="0" w:firstLine="720"/>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ind w:left="0" w:firstLine="720"/>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ind w:left="0" w:firstLine="720"/>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ind w:left="0" w:firstLine="720"/>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ind w:left="0" w:firstLine="720"/>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ind w:left="0" w:firstLine="720"/>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ind w:left="0" w:firstLine="720"/>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ind w:left="0" w:firstLine="720"/>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ind w:left="0" w:firstLine="720"/>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ind w:left="0" w:firstLine="720"/>
        <w:jc w:val="right"/>
        <w:outlineLvl w:val="0"/>
        <w:rPr>
          <w:rFonts w:ascii="Times New Roman" w:hAnsi="Times New Roman"/>
          <w:sz w:val="24"/>
          <w:szCs w:val="24"/>
        </w:rPr>
      </w:pPr>
      <w:r>
        <w:rPr>
          <w:rFonts w:ascii="Times New Roman" w:hAnsi="Times New Roman"/>
          <w:sz w:val="24"/>
          <w:szCs w:val="24"/>
        </w:rPr>
      </w:r>
    </w:p>
    <w:p>
      <w:pPr>
        <w:pStyle w:val="ConsPlusNormal"/>
        <w:numPr>
          <w:ilvl w:val="0"/>
          <w:numId w:val="0"/>
        </w:numPr>
        <w:ind w:left="0" w:firstLine="720"/>
        <w:jc w:val="right"/>
        <w:outlineLvl w:val="0"/>
        <w:rPr>
          <w:rFonts w:ascii="Times New Roman" w:hAnsi="Times New Roman"/>
          <w:sz w:val="24"/>
          <w:szCs w:val="24"/>
        </w:rPr>
      </w:pPr>
      <w:r>
        <w:rPr>
          <w:rFonts w:ascii="Times New Roman" w:hAnsi="Times New Roman"/>
          <w:sz w:val="24"/>
          <w:szCs w:val="24"/>
        </w:rPr>
        <w:t>Приложение № 4</w:t>
      </w:r>
    </w:p>
    <w:p>
      <w:pPr>
        <w:pStyle w:val="ConsPlusNormal"/>
        <w:jc w:val="right"/>
        <w:rPr>
          <w:rFonts w:ascii="Times New Roman" w:hAnsi="Times New Roman"/>
          <w:sz w:val="24"/>
          <w:szCs w:val="24"/>
        </w:rPr>
      </w:pPr>
      <w:r>
        <w:rPr>
          <w:rFonts w:ascii="Times New Roman" w:hAnsi="Times New Roman"/>
          <w:sz w:val="24"/>
          <w:szCs w:val="24"/>
        </w:rPr>
        <w:t>к Учетной политике от 11.01.2021г.</w:t>
      </w:r>
    </w:p>
    <w:p>
      <w:pPr>
        <w:pStyle w:val="ConsPlusNormal"/>
        <w:ind w:hanging="0"/>
        <w:jc w:val="both"/>
        <w:rPr>
          <w:rFonts w:ascii="Times New Roman" w:hAnsi="Times New Roman"/>
          <w:sz w:val="24"/>
          <w:szCs w:val="24"/>
        </w:rPr>
      </w:pPr>
      <w:r>
        <w:rPr>
          <w:rFonts w:ascii="Times New Roman" w:hAnsi="Times New Roman"/>
          <w:sz w:val="24"/>
          <w:szCs w:val="24"/>
        </w:rPr>
      </w:r>
    </w:p>
    <w:p>
      <w:pPr>
        <w:pStyle w:val="ConsPlusNormal"/>
        <w:jc w:val="center"/>
        <w:rPr>
          <w:rFonts w:ascii="Times New Roman" w:hAnsi="Times New Roman"/>
          <w:sz w:val="24"/>
          <w:szCs w:val="24"/>
        </w:rPr>
      </w:pPr>
      <w:r>
        <w:rPr>
          <w:rFonts w:ascii="Times New Roman" w:hAnsi="Times New Roman"/>
          <w:b/>
          <w:bCs/>
          <w:sz w:val="24"/>
          <w:szCs w:val="24"/>
        </w:rPr>
        <w:t>Периодичность формирования регистров бухгалтерского учета</w:t>
      </w:r>
    </w:p>
    <w:p>
      <w:pPr>
        <w:pStyle w:val="ConsPlusNormal"/>
        <w:jc w:val="center"/>
        <w:rPr>
          <w:rFonts w:ascii="Times New Roman" w:hAnsi="Times New Roman"/>
          <w:b/>
          <w:b/>
          <w:bCs/>
          <w:sz w:val="24"/>
          <w:szCs w:val="24"/>
        </w:rPr>
      </w:pPr>
      <w:r>
        <w:rPr>
          <w:rFonts w:ascii="Times New Roman" w:hAnsi="Times New Roman"/>
          <w:b/>
          <w:bCs/>
          <w:sz w:val="24"/>
          <w:szCs w:val="24"/>
        </w:rPr>
        <w:t>на бумажных носителях</w:t>
      </w:r>
    </w:p>
    <w:p>
      <w:pPr>
        <w:pStyle w:val="ConsPlusNormal"/>
        <w:jc w:val="center"/>
        <w:rPr>
          <w:rFonts w:ascii="Times New Roman" w:hAnsi="Times New Roman"/>
          <w:b/>
          <w:b/>
          <w:bCs/>
          <w:sz w:val="24"/>
          <w:szCs w:val="24"/>
        </w:rPr>
      </w:pPr>
      <w:r>
        <w:rPr>
          <w:rFonts w:ascii="Times New Roman" w:hAnsi="Times New Roman"/>
          <w:b/>
          <w:bCs/>
          <w:sz w:val="24"/>
          <w:szCs w:val="24"/>
        </w:rPr>
      </w:r>
    </w:p>
    <w:p>
      <w:pPr>
        <w:pStyle w:val="ConsPlusNormal"/>
        <w:jc w:val="center"/>
        <w:rPr>
          <w:rFonts w:ascii="Times New Roman" w:hAnsi="Times New Roman"/>
          <w:b/>
          <w:b/>
          <w:bCs/>
          <w:sz w:val="24"/>
          <w:szCs w:val="24"/>
        </w:rPr>
      </w:pPr>
      <w:r>
        <w:rPr>
          <w:rFonts w:ascii="Times New Roman" w:hAnsi="Times New Roman"/>
          <w:b/>
          <w:bCs/>
          <w:sz w:val="24"/>
          <w:szCs w:val="24"/>
        </w:rPr>
      </w:r>
    </w:p>
    <w:tbl>
      <w:tblPr>
        <w:tblW w:w="9571" w:type="dxa"/>
        <w:jc w:val="left"/>
        <w:tblInd w:w="0" w:type="dxa"/>
        <w:tblLayout w:type="fixed"/>
        <w:tblCellMar>
          <w:top w:w="0" w:type="dxa"/>
          <w:left w:w="108" w:type="dxa"/>
          <w:bottom w:w="0" w:type="dxa"/>
          <w:right w:w="108" w:type="dxa"/>
        </w:tblCellMar>
        <w:tblLook w:val="04a0"/>
      </w:tblPr>
      <w:tblGrid>
        <w:gridCol w:w="671"/>
        <w:gridCol w:w="1422"/>
        <w:gridCol w:w="5088"/>
        <w:gridCol w:w="2389"/>
      </w:tblGrid>
      <w:tr>
        <w:trPr/>
        <w:tc>
          <w:tcPr>
            <w:tcW w:w="671"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ind w:hanging="0"/>
              <w:jc w:val="center"/>
              <w:rPr>
                <w:rFonts w:ascii="Times New Roman" w:hAnsi="Times New Roman"/>
                <w:b/>
                <w:b/>
                <w:sz w:val="24"/>
                <w:szCs w:val="24"/>
              </w:rPr>
            </w:pPr>
            <w:r>
              <w:rPr>
                <w:rFonts w:ascii="Times New Roman" w:hAnsi="Times New Roman"/>
                <w:b/>
                <w:sz w:val="24"/>
                <w:szCs w:val="24"/>
              </w:rPr>
              <w:t>N п/п</w:t>
            </w:r>
          </w:p>
        </w:tc>
        <w:tc>
          <w:tcPr>
            <w:tcW w:w="1422"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ind w:hanging="0"/>
              <w:rPr>
                <w:rFonts w:ascii="Times New Roman" w:hAnsi="Times New Roman"/>
                <w:b/>
                <w:b/>
                <w:sz w:val="24"/>
                <w:szCs w:val="24"/>
              </w:rPr>
            </w:pPr>
            <w:r>
              <w:rPr>
                <w:rFonts w:ascii="Times New Roman" w:hAnsi="Times New Roman"/>
                <w:b/>
                <w:sz w:val="24"/>
                <w:szCs w:val="24"/>
              </w:rPr>
              <w:t>Код формы документа</w:t>
            </w:r>
          </w:p>
        </w:tc>
        <w:tc>
          <w:tcPr>
            <w:tcW w:w="5088"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jc w:val="center"/>
              <w:rPr>
                <w:rFonts w:ascii="Times New Roman" w:hAnsi="Times New Roman"/>
                <w:b/>
                <w:b/>
                <w:sz w:val="24"/>
                <w:szCs w:val="24"/>
              </w:rPr>
            </w:pPr>
            <w:r>
              <w:rPr>
                <w:rFonts w:ascii="Times New Roman" w:hAnsi="Times New Roman"/>
                <w:b/>
                <w:sz w:val="24"/>
                <w:szCs w:val="24"/>
              </w:rPr>
              <w:t>Наименование регистра</w:t>
            </w:r>
          </w:p>
        </w:tc>
        <w:tc>
          <w:tcPr>
            <w:tcW w:w="2389"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ind w:hanging="0"/>
              <w:rPr>
                <w:rFonts w:ascii="Times New Roman" w:hAnsi="Times New Roman"/>
                <w:b/>
                <w:b/>
                <w:sz w:val="24"/>
                <w:szCs w:val="24"/>
              </w:rPr>
            </w:pPr>
            <w:r>
              <w:rPr>
                <w:rFonts w:ascii="Times New Roman" w:hAnsi="Times New Roman"/>
                <w:b/>
                <w:sz w:val="24"/>
                <w:szCs w:val="24"/>
              </w:rPr>
              <w:t>Периодичность</w:t>
            </w:r>
          </w:p>
        </w:tc>
      </w:tr>
      <w:tr>
        <w:trPr/>
        <w:tc>
          <w:tcPr>
            <w:tcW w:w="671"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jc w:val="center"/>
              <w:rPr>
                <w:rFonts w:ascii="Times New Roman" w:hAnsi="Times New Roman"/>
                <w:sz w:val="24"/>
                <w:szCs w:val="24"/>
              </w:rPr>
            </w:pPr>
            <w:r>
              <w:rPr>
                <w:rFonts w:ascii="Times New Roman" w:hAnsi="Times New Roman"/>
                <w:sz w:val="24"/>
                <w:szCs w:val="24"/>
              </w:rPr>
              <w:t>1</w:t>
            </w:r>
          </w:p>
        </w:tc>
        <w:tc>
          <w:tcPr>
            <w:tcW w:w="1422"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jc w:val="center"/>
              <w:rPr>
                <w:rFonts w:ascii="Times New Roman" w:hAnsi="Times New Roman"/>
                <w:sz w:val="24"/>
                <w:szCs w:val="24"/>
              </w:rPr>
            </w:pPr>
            <w:r>
              <w:rPr>
                <w:rFonts w:ascii="Times New Roman" w:hAnsi="Times New Roman"/>
                <w:sz w:val="24"/>
                <w:szCs w:val="24"/>
              </w:rPr>
              <w:t>2</w:t>
            </w:r>
          </w:p>
        </w:tc>
        <w:tc>
          <w:tcPr>
            <w:tcW w:w="5088"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jc w:val="center"/>
              <w:rPr>
                <w:rFonts w:ascii="Times New Roman" w:hAnsi="Times New Roman"/>
                <w:sz w:val="24"/>
                <w:szCs w:val="24"/>
              </w:rPr>
            </w:pPr>
            <w:r>
              <w:rPr>
                <w:rFonts w:ascii="Times New Roman" w:hAnsi="Times New Roman"/>
                <w:sz w:val="24"/>
                <w:szCs w:val="24"/>
              </w:rPr>
              <w:t>3</w:t>
            </w:r>
          </w:p>
        </w:tc>
        <w:tc>
          <w:tcPr>
            <w:tcW w:w="2389"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jc w:val="center"/>
              <w:rPr>
                <w:rFonts w:ascii="Times New Roman" w:hAnsi="Times New Roman"/>
                <w:sz w:val="24"/>
                <w:szCs w:val="24"/>
              </w:rPr>
            </w:pPr>
            <w:r>
              <w:rPr>
                <w:rFonts w:ascii="Times New Roman" w:hAnsi="Times New Roman"/>
                <w:sz w:val="24"/>
                <w:szCs w:val="24"/>
              </w:rPr>
              <w:t>4</w:t>
            </w:r>
          </w:p>
        </w:tc>
      </w:tr>
      <w:tr>
        <w:trPr/>
        <w:tc>
          <w:tcPr>
            <w:tcW w:w="671"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jc w:val="center"/>
              <w:rPr>
                <w:rFonts w:ascii="Times New Roman" w:hAnsi="Times New Roman"/>
                <w:sz w:val="22"/>
                <w:szCs w:val="22"/>
              </w:rPr>
            </w:pPr>
            <w:r>
              <w:rPr>
                <w:rFonts w:ascii="Times New Roman" w:hAnsi="Times New Roman"/>
                <w:sz w:val="22"/>
                <w:szCs w:val="22"/>
              </w:rPr>
              <w:t>1</w:t>
            </w:r>
          </w:p>
        </w:tc>
        <w:tc>
          <w:tcPr>
            <w:tcW w:w="1422"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ind w:left="-720" w:right="-242" w:hanging="0"/>
              <w:jc w:val="center"/>
              <w:rPr>
                <w:rFonts w:ascii="Times New Roman" w:hAnsi="Times New Roman"/>
                <w:sz w:val="22"/>
                <w:szCs w:val="22"/>
              </w:rPr>
            </w:pPr>
            <w:r>
              <w:rPr>
                <w:rFonts w:ascii="Times New Roman" w:hAnsi="Times New Roman"/>
                <w:sz w:val="22"/>
                <w:szCs w:val="22"/>
              </w:rPr>
              <w:t>0504031</w:t>
            </w:r>
          </w:p>
        </w:tc>
        <w:tc>
          <w:tcPr>
            <w:tcW w:w="5088"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0" w:after="200"/>
              <w:ind w:hanging="0"/>
              <w:contextualSpacing/>
              <w:rPr>
                <w:rFonts w:ascii="Times New Roman" w:hAnsi="Times New Roman"/>
                <w:sz w:val="22"/>
                <w:szCs w:val="22"/>
              </w:rPr>
            </w:pPr>
            <w:r>
              <w:rPr>
                <w:rFonts w:ascii="Times New Roman" w:hAnsi="Times New Roman"/>
                <w:sz w:val="22"/>
                <w:szCs w:val="22"/>
              </w:rPr>
              <w:t>Инвентарная карточка учета основных</w:t>
            </w:r>
          </w:p>
          <w:p>
            <w:pPr>
              <w:pStyle w:val="ConsPlusNormal"/>
              <w:widowControl w:val="false"/>
              <w:spacing w:before="0" w:after="200"/>
              <w:ind w:hanging="0"/>
              <w:contextualSpacing/>
              <w:rPr>
                <w:rFonts w:ascii="Times New Roman" w:hAnsi="Times New Roman"/>
                <w:sz w:val="22"/>
                <w:szCs w:val="22"/>
              </w:rPr>
            </w:pPr>
            <w:r>
              <w:rPr>
                <w:rFonts w:ascii="Times New Roman" w:hAnsi="Times New Roman"/>
                <w:sz w:val="22"/>
                <w:szCs w:val="22"/>
              </w:rPr>
              <w:t>средств</w:t>
            </w:r>
          </w:p>
        </w:tc>
        <w:tc>
          <w:tcPr>
            <w:tcW w:w="2389"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Ежегодно</w:t>
            </w:r>
          </w:p>
        </w:tc>
      </w:tr>
      <w:tr>
        <w:trPr/>
        <w:tc>
          <w:tcPr>
            <w:tcW w:w="671"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jc w:val="center"/>
              <w:rPr>
                <w:rFonts w:ascii="Times New Roman" w:hAnsi="Times New Roman"/>
                <w:sz w:val="22"/>
                <w:szCs w:val="22"/>
              </w:rPr>
            </w:pPr>
            <w:r>
              <w:rPr>
                <w:rFonts w:ascii="Times New Roman" w:hAnsi="Times New Roman"/>
                <w:sz w:val="22"/>
                <w:szCs w:val="22"/>
              </w:rPr>
              <w:t>2</w:t>
            </w:r>
          </w:p>
        </w:tc>
        <w:tc>
          <w:tcPr>
            <w:tcW w:w="1422"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ind w:left="-720" w:right="-242" w:hanging="0"/>
              <w:jc w:val="center"/>
              <w:rPr>
                <w:rFonts w:ascii="Times New Roman" w:hAnsi="Times New Roman"/>
                <w:sz w:val="22"/>
                <w:szCs w:val="22"/>
              </w:rPr>
            </w:pPr>
            <w:r>
              <w:rPr>
                <w:rFonts w:ascii="Times New Roman" w:hAnsi="Times New Roman"/>
                <w:sz w:val="22"/>
                <w:szCs w:val="22"/>
              </w:rPr>
              <w:t>0504032</w:t>
            </w:r>
          </w:p>
        </w:tc>
        <w:tc>
          <w:tcPr>
            <w:tcW w:w="5088"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0" w:after="200"/>
              <w:ind w:hanging="0"/>
              <w:contextualSpacing/>
              <w:rPr>
                <w:rFonts w:ascii="Times New Roman" w:hAnsi="Times New Roman"/>
                <w:sz w:val="22"/>
                <w:szCs w:val="22"/>
              </w:rPr>
            </w:pPr>
            <w:r>
              <w:rPr>
                <w:rFonts w:ascii="Times New Roman" w:hAnsi="Times New Roman"/>
                <w:sz w:val="22"/>
                <w:szCs w:val="22"/>
              </w:rPr>
              <w:t>Инвентарная карточка группового учета основных средств</w:t>
            </w:r>
          </w:p>
        </w:tc>
        <w:tc>
          <w:tcPr>
            <w:tcW w:w="2389"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Ежегодно</w:t>
            </w:r>
          </w:p>
        </w:tc>
      </w:tr>
      <w:tr>
        <w:trPr/>
        <w:tc>
          <w:tcPr>
            <w:tcW w:w="671" w:type="dxa"/>
            <w:tcBorders>
              <w:top w:val="single" w:sz="4" w:space="0" w:color="000000"/>
              <w:left w:val="single" w:sz="4" w:space="0" w:color="000000"/>
              <w:bottom w:val="single" w:sz="4" w:space="0" w:color="000000"/>
              <w:right w:val="single" w:sz="4" w:space="0" w:color="000000"/>
            </w:tcBorders>
          </w:tcPr>
          <w:p>
            <w:pPr>
              <w:pStyle w:val="ConsPlusNormal"/>
              <w:widowControl w:val="false"/>
              <w:tabs>
                <w:tab w:val="clear" w:pos="708"/>
                <w:tab w:val="left" w:pos="75" w:leader="none"/>
              </w:tabs>
              <w:ind w:hanging="0"/>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3</w:t>
            </w:r>
          </w:p>
        </w:tc>
        <w:tc>
          <w:tcPr>
            <w:tcW w:w="1422"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ind w:left="-720" w:right="-242" w:hanging="0"/>
              <w:jc w:val="center"/>
              <w:rPr>
                <w:rFonts w:ascii="Times New Roman" w:hAnsi="Times New Roman"/>
                <w:sz w:val="22"/>
                <w:szCs w:val="22"/>
              </w:rPr>
            </w:pPr>
            <w:r>
              <w:rPr>
                <w:rFonts w:ascii="Times New Roman" w:hAnsi="Times New Roman"/>
                <w:sz w:val="22"/>
                <w:szCs w:val="22"/>
              </w:rPr>
              <w:t>0504033</w:t>
            </w:r>
          </w:p>
        </w:tc>
        <w:tc>
          <w:tcPr>
            <w:tcW w:w="5088"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Опись инвентарных карточек по учету основных средств</w:t>
            </w:r>
          </w:p>
        </w:tc>
        <w:tc>
          <w:tcPr>
            <w:tcW w:w="2389"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Ежегодно</w:t>
            </w:r>
          </w:p>
        </w:tc>
      </w:tr>
      <w:tr>
        <w:trPr/>
        <w:tc>
          <w:tcPr>
            <w:tcW w:w="671"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jc w:val="center"/>
              <w:rPr>
                <w:rFonts w:ascii="Times New Roman" w:hAnsi="Times New Roman"/>
                <w:sz w:val="22"/>
                <w:szCs w:val="22"/>
              </w:rPr>
            </w:pPr>
            <w:r>
              <w:rPr>
                <w:rFonts w:ascii="Times New Roman" w:hAnsi="Times New Roman"/>
                <w:sz w:val="22"/>
                <w:szCs w:val="22"/>
              </w:rPr>
              <w:t>4</w:t>
            </w:r>
          </w:p>
        </w:tc>
        <w:tc>
          <w:tcPr>
            <w:tcW w:w="1422"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ind w:left="-720" w:right="-242" w:hanging="0"/>
              <w:jc w:val="center"/>
              <w:rPr>
                <w:rFonts w:ascii="Times New Roman" w:hAnsi="Times New Roman"/>
                <w:sz w:val="22"/>
                <w:szCs w:val="22"/>
              </w:rPr>
            </w:pPr>
            <w:r>
              <w:rPr>
                <w:rFonts w:ascii="Times New Roman" w:hAnsi="Times New Roman"/>
                <w:sz w:val="22"/>
                <w:szCs w:val="22"/>
              </w:rPr>
              <w:t>0504034</w:t>
            </w:r>
          </w:p>
        </w:tc>
        <w:tc>
          <w:tcPr>
            <w:tcW w:w="5088"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Инвентарный список нефинансовых активов</w:t>
            </w:r>
          </w:p>
        </w:tc>
        <w:tc>
          <w:tcPr>
            <w:tcW w:w="2389"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Ежегодно</w:t>
            </w:r>
          </w:p>
        </w:tc>
      </w:tr>
      <w:tr>
        <w:trPr/>
        <w:tc>
          <w:tcPr>
            <w:tcW w:w="671"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jc w:val="center"/>
              <w:rPr>
                <w:rFonts w:ascii="Times New Roman" w:hAnsi="Times New Roman"/>
                <w:sz w:val="22"/>
                <w:szCs w:val="22"/>
              </w:rPr>
            </w:pPr>
            <w:r>
              <w:rPr>
                <w:rFonts w:ascii="Times New Roman" w:hAnsi="Times New Roman"/>
                <w:sz w:val="22"/>
                <w:szCs w:val="22"/>
              </w:rPr>
              <w:t>5</w:t>
            </w:r>
          </w:p>
        </w:tc>
        <w:tc>
          <w:tcPr>
            <w:tcW w:w="1422"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ind w:left="-720" w:right="-242" w:hanging="0"/>
              <w:jc w:val="center"/>
              <w:rPr>
                <w:rFonts w:ascii="Times New Roman" w:hAnsi="Times New Roman"/>
                <w:sz w:val="22"/>
                <w:szCs w:val="22"/>
              </w:rPr>
            </w:pPr>
            <w:r>
              <w:rPr>
                <w:rFonts w:ascii="Times New Roman" w:hAnsi="Times New Roman"/>
                <w:sz w:val="22"/>
                <w:szCs w:val="22"/>
              </w:rPr>
              <w:t>0504035</w:t>
            </w:r>
          </w:p>
        </w:tc>
        <w:tc>
          <w:tcPr>
            <w:tcW w:w="5088"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Оборотная ведомость по нефинансовым активам</w:t>
            </w:r>
          </w:p>
        </w:tc>
        <w:tc>
          <w:tcPr>
            <w:tcW w:w="2389"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Ежеквартально</w:t>
            </w:r>
          </w:p>
        </w:tc>
      </w:tr>
      <w:tr>
        <w:trPr/>
        <w:tc>
          <w:tcPr>
            <w:tcW w:w="671"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jc w:val="center"/>
              <w:rPr>
                <w:rFonts w:ascii="Times New Roman" w:hAnsi="Times New Roman"/>
                <w:sz w:val="22"/>
                <w:szCs w:val="22"/>
              </w:rPr>
            </w:pPr>
            <w:r>
              <w:rPr>
                <w:rFonts w:ascii="Times New Roman" w:hAnsi="Times New Roman"/>
                <w:sz w:val="22"/>
                <w:szCs w:val="22"/>
              </w:rPr>
              <w:t>6</w:t>
            </w:r>
          </w:p>
        </w:tc>
        <w:tc>
          <w:tcPr>
            <w:tcW w:w="1422"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ind w:left="-720" w:right="-242" w:hanging="0"/>
              <w:jc w:val="center"/>
              <w:rPr>
                <w:rFonts w:ascii="Times New Roman" w:hAnsi="Times New Roman"/>
                <w:sz w:val="22"/>
                <w:szCs w:val="22"/>
              </w:rPr>
            </w:pPr>
            <w:r>
              <w:rPr>
                <w:rFonts w:ascii="Times New Roman" w:hAnsi="Times New Roman"/>
                <w:sz w:val="22"/>
                <w:szCs w:val="22"/>
              </w:rPr>
              <w:t>0504036</w:t>
            </w:r>
          </w:p>
        </w:tc>
        <w:tc>
          <w:tcPr>
            <w:tcW w:w="5088"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Оборотная ведомость</w:t>
            </w:r>
          </w:p>
        </w:tc>
        <w:tc>
          <w:tcPr>
            <w:tcW w:w="2389"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Ежемесячно</w:t>
            </w:r>
          </w:p>
        </w:tc>
      </w:tr>
      <w:tr>
        <w:trPr/>
        <w:tc>
          <w:tcPr>
            <w:tcW w:w="671"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jc w:val="center"/>
              <w:rPr>
                <w:rFonts w:ascii="Times New Roman" w:hAnsi="Times New Roman"/>
                <w:sz w:val="22"/>
                <w:szCs w:val="22"/>
              </w:rPr>
            </w:pPr>
            <w:r>
              <w:rPr>
                <w:rFonts w:ascii="Times New Roman" w:hAnsi="Times New Roman"/>
                <w:sz w:val="22"/>
                <w:szCs w:val="22"/>
              </w:rPr>
              <w:t>7</w:t>
            </w:r>
          </w:p>
        </w:tc>
        <w:tc>
          <w:tcPr>
            <w:tcW w:w="1422"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ind w:left="-720" w:right="-242" w:hanging="0"/>
              <w:jc w:val="center"/>
              <w:rPr>
                <w:rFonts w:ascii="Times New Roman" w:hAnsi="Times New Roman"/>
                <w:sz w:val="22"/>
                <w:szCs w:val="22"/>
              </w:rPr>
            </w:pPr>
            <w:r>
              <w:rPr>
                <w:rFonts w:ascii="Times New Roman" w:hAnsi="Times New Roman"/>
                <w:sz w:val="22"/>
                <w:szCs w:val="22"/>
              </w:rPr>
              <w:t>0504041</w:t>
            </w:r>
          </w:p>
        </w:tc>
        <w:tc>
          <w:tcPr>
            <w:tcW w:w="5088"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Карточка количественно-суммового учета материальных ценностей</w:t>
            </w:r>
          </w:p>
        </w:tc>
        <w:tc>
          <w:tcPr>
            <w:tcW w:w="2389"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Ежегодно</w:t>
            </w:r>
          </w:p>
        </w:tc>
      </w:tr>
      <w:tr>
        <w:trPr/>
        <w:tc>
          <w:tcPr>
            <w:tcW w:w="671"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jc w:val="center"/>
              <w:rPr>
                <w:rFonts w:ascii="Times New Roman" w:hAnsi="Times New Roman"/>
                <w:sz w:val="22"/>
                <w:szCs w:val="22"/>
              </w:rPr>
            </w:pPr>
            <w:r>
              <w:rPr>
                <w:rFonts w:ascii="Times New Roman" w:hAnsi="Times New Roman"/>
                <w:sz w:val="22"/>
                <w:szCs w:val="22"/>
              </w:rPr>
              <w:t>8</w:t>
            </w:r>
          </w:p>
        </w:tc>
        <w:tc>
          <w:tcPr>
            <w:tcW w:w="1422"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ind w:left="-720" w:right="-242" w:hanging="0"/>
              <w:jc w:val="center"/>
              <w:rPr>
                <w:rFonts w:ascii="Times New Roman" w:hAnsi="Times New Roman"/>
                <w:sz w:val="22"/>
                <w:szCs w:val="22"/>
              </w:rPr>
            </w:pPr>
            <w:r>
              <w:rPr>
                <w:rFonts w:ascii="Times New Roman" w:hAnsi="Times New Roman"/>
                <w:sz w:val="22"/>
                <w:szCs w:val="22"/>
              </w:rPr>
              <w:t>0504042</w:t>
            </w:r>
          </w:p>
        </w:tc>
        <w:tc>
          <w:tcPr>
            <w:tcW w:w="5088"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Книга учета материальных ценностей</w:t>
            </w:r>
          </w:p>
        </w:tc>
        <w:tc>
          <w:tcPr>
            <w:tcW w:w="2389"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По мере совершения операций</w:t>
            </w:r>
          </w:p>
        </w:tc>
      </w:tr>
      <w:tr>
        <w:trPr/>
        <w:tc>
          <w:tcPr>
            <w:tcW w:w="671"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jc w:val="center"/>
              <w:rPr>
                <w:rFonts w:ascii="Times New Roman" w:hAnsi="Times New Roman"/>
                <w:sz w:val="22"/>
                <w:szCs w:val="22"/>
              </w:rPr>
            </w:pPr>
            <w:r>
              <w:rPr>
                <w:rFonts w:ascii="Times New Roman" w:hAnsi="Times New Roman"/>
                <w:sz w:val="22"/>
                <w:szCs w:val="22"/>
              </w:rPr>
              <w:t>9</w:t>
            </w:r>
          </w:p>
        </w:tc>
        <w:tc>
          <w:tcPr>
            <w:tcW w:w="1422"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ind w:left="-720" w:right="-242" w:hanging="0"/>
              <w:jc w:val="center"/>
              <w:rPr>
                <w:rFonts w:ascii="Times New Roman" w:hAnsi="Times New Roman"/>
                <w:sz w:val="22"/>
                <w:szCs w:val="22"/>
              </w:rPr>
            </w:pPr>
            <w:r>
              <w:rPr>
                <w:rFonts w:ascii="Times New Roman" w:hAnsi="Times New Roman"/>
                <w:sz w:val="22"/>
                <w:szCs w:val="22"/>
              </w:rPr>
              <w:t>0504043</w:t>
            </w:r>
          </w:p>
        </w:tc>
        <w:tc>
          <w:tcPr>
            <w:tcW w:w="5088"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Карточка учета материальных ценностей</w:t>
            </w:r>
          </w:p>
        </w:tc>
        <w:tc>
          <w:tcPr>
            <w:tcW w:w="2389"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Ежегодно</w:t>
            </w:r>
          </w:p>
        </w:tc>
      </w:tr>
      <w:tr>
        <w:trPr/>
        <w:tc>
          <w:tcPr>
            <w:tcW w:w="671"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jc w:val="center"/>
              <w:rPr>
                <w:rFonts w:ascii="Times New Roman" w:hAnsi="Times New Roman"/>
                <w:sz w:val="22"/>
                <w:szCs w:val="22"/>
              </w:rPr>
            </w:pPr>
            <w:r>
              <w:rPr>
                <w:rFonts w:ascii="Times New Roman" w:hAnsi="Times New Roman"/>
                <w:sz w:val="22"/>
                <w:szCs w:val="22"/>
              </w:rPr>
              <w:t>10</w:t>
            </w:r>
          </w:p>
        </w:tc>
        <w:tc>
          <w:tcPr>
            <w:tcW w:w="1422"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ind w:left="-720" w:right="-242" w:hanging="0"/>
              <w:jc w:val="center"/>
              <w:rPr>
                <w:rFonts w:ascii="Times New Roman" w:hAnsi="Times New Roman"/>
                <w:sz w:val="22"/>
                <w:szCs w:val="22"/>
              </w:rPr>
            </w:pPr>
            <w:r>
              <w:rPr>
                <w:rFonts w:ascii="Times New Roman" w:hAnsi="Times New Roman"/>
                <w:sz w:val="22"/>
                <w:szCs w:val="22"/>
              </w:rPr>
              <w:t>0504044</w:t>
            </w:r>
          </w:p>
        </w:tc>
        <w:tc>
          <w:tcPr>
            <w:tcW w:w="5088"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Книга регистрации боя посуды</w:t>
            </w:r>
          </w:p>
        </w:tc>
        <w:tc>
          <w:tcPr>
            <w:tcW w:w="2389"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По мере совершения операций</w:t>
            </w:r>
          </w:p>
        </w:tc>
      </w:tr>
      <w:tr>
        <w:trPr/>
        <w:tc>
          <w:tcPr>
            <w:tcW w:w="671"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jc w:val="center"/>
              <w:rPr>
                <w:rFonts w:ascii="Times New Roman" w:hAnsi="Times New Roman"/>
                <w:sz w:val="22"/>
                <w:szCs w:val="22"/>
              </w:rPr>
            </w:pPr>
            <w:r>
              <w:rPr>
                <w:rFonts w:ascii="Times New Roman" w:hAnsi="Times New Roman"/>
                <w:sz w:val="22"/>
                <w:szCs w:val="22"/>
              </w:rPr>
              <w:t>11</w:t>
            </w:r>
          </w:p>
        </w:tc>
        <w:tc>
          <w:tcPr>
            <w:tcW w:w="1422"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ind w:left="-720" w:right="-242" w:hanging="0"/>
              <w:jc w:val="center"/>
              <w:rPr>
                <w:rFonts w:ascii="Times New Roman" w:hAnsi="Times New Roman"/>
                <w:sz w:val="22"/>
                <w:szCs w:val="22"/>
              </w:rPr>
            </w:pPr>
            <w:r>
              <w:rPr>
                <w:rFonts w:ascii="Times New Roman" w:hAnsi="Times New Roman"/>
                <w:sz w:val="22"/>
                <w:szCs w:val="22"/>
              </w:rPr>
              <w:t>0504045</w:t>
            </w:r>
          </w:p>
        </w:tc>
        <w:tc>
          <w:tcPr>
            <w:tcW w:w="5088"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Книга учета бланков строгой отчетности</w:t>
            </w:r>
          </w:p>
        </w:tc>
        <w:tc>
          <w:tcPr>
            <w:tcW w:w="2389"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По мере совершения операций</w:t>
            </w:r>
          </w:p>
        </w:tc>
      </w:tr>
      <w:tr>
        <w:trPr/>
        <w:tc>
          <w:tcPr>
            <w:tcW w:w="671"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12</w:t>
            </w:r>
          </w:p>
        </w:tc>
        <w:tc>
          <w:tcPr>
            <w:tcW w:w="1422"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ind w:left="-102" w:hanging="0"/>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0504051</w:t>
            </w:r>
          </w:p>
        </w:tc>
        <w:tc>
          <w:tcPr>
            <w:tcW w:w="5088"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Карточка учета средств и расчетов</w:t>
            </w:r>
          </w:p>
        </w:tc>
        <w:tc>
          <w:tcPr>
            <w:tcW w:w="2389"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Ежегодно</w:t>
            </w:r>
          </w:p>
        </w:tc>
      </w:tr>
      <w:tr>
        <w:trPr/>
        <w:tc>
          <w:tcPr>
            <w:tcW w:w="671"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jc w:val="center"/>
              <w:rPr>
                <w:rFonts w:ascii="Times New Roman" w:hAnsi="Times New Roman"/>
                <w:sz w:val="22"/>
                <w:szCs w:val="22"/>
              </w:rPr>
            </w:pPr>
            <w:r>
              <w:rPr>
                <w:rFonts w:ascii="Times New Roman" w:hAnsi="Times New Roman"/>
                <w:sz w:val="22"/>
                <w:szCs w:val="22"/>
              </w:rPr>
              <w:t>13</w:t>
            </w:r>
          </w:p>
        </w:tc>
        <w:tc>
          <w:tcPr>
            <w:tcW w:w="1422"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ind w:left="-720" w:right="-242" w:hanging="0"/>
              <w:jc w:val="center"/>
              <w:rPr>
                <w:rFonts w:ascii="Times New Roman" w:hAnsi="Times New Roman"/>
                <w:sz w:val="22"/>
                <w:szCs w:val="22"/>
              </w:rPr>
            </w:pPr>
            <w:r>
              <w:rPr>
                <w:rFonts w:ascii="Times New Roman" w:hAnsi="Times New Roman"/>
                <w:sz w:val="22"/>
                <w:szCs w:val="22"/>
              </w:rPr>
              <w:t>0504054</w:t>
            </w:r>
          </w:p>
        </w:tc>
        <w:tc>
          <w:tcPr>
            <w:tcW w:w="5088"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Многографная карточка</w:t>
            </w:r>
          </w:p>
        </w:tc>
        <w:tc>
          <w:tcPr>
            <w:tcW w:w="2389"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Ежегодно</w:t>
            </w:r>
          </w:p>
        </w:tc>
      </w:tr>
      <w:tr>
        <w:trPr/>
        <w:tc>
          <w:tcPr>
            <w:tcW w:w="671"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jc w:val="center"/>
              <w:rPr>
                <w:rFonts w:ascii="Times New Roman" w:hAnsi="Times New Roman"/>
                <w:sz w:val="22"/>
                <w:szCs w:val="22"/>
              </w:rPr>
            </w:pPr>
            <w:r>
              <w:rPr>
                <w:rFonts w:ascii="Times New Roman" w:hAnsi="Times New Roman"/>
                <w:sz w:val="22"/>
                <w:szCs w:val="22"/>
              </w:rPr>
              <w:t>14</w:t>
            </w:r>
          </w:p>
        </w:tc>
        <w:tc>
          <w:tcPr>
            <w:tcW w:w="1422"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ind w:left="-720" w:right="-242" w:hanging="0"/>
              <w:jc w:val="center"/>
              <w:rPr>
                <w:rFonts w:ascii="Times New Roman" w:hAnsi="Times New Roman"/>
                <w:sz w:val="22"/>
                <w:szCs w:val="22"/>
              </w:rPr>
            </w:pPr>
            <w:r>
              <w:rPr>
                <w:rFonts w:ascii="Times New Roman" w:hAnsi="Times New Roman"/>
                <w:sz w:val="22"/>
                <w:szCs w:val="22"/>
              </w:rPr>
              <w:t>0504064</w:t>
            </w:r>
          </w:p>
        </w:tc>
        <w:tc>
          <w:tcPr>
            <w:tcW w:w="5088"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Журнал регистрации обязательств</w:t>
            </w:r>
          </w:p>
        </w:tc>
        <w:tc>
          <w:tcPr>
            <w:tcW w:w="2389"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Ежемесячно</w:t>
            </w:r>
          </w:p>
        </w:tc>
      </w:tr>
      <w:tr>
        <w:trPr/>
        <w:tc>
          <w:tcPr>
            <w:tcW w:w="671"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jc w:val="center"/>
              <w:rPr>
                <w:rFonts w:ascii="Times New Roman" w:hAnsi="Times New Roman"/>
                <w:sz w:val="22"/>
                <w:szCs w:val="22"/>
              </w:rPr>
            </w:pPr>
            <w:r>
              <w:rPr>
                <w:rFonts w:ascii="Times New Roman" w:hAnsi="Times New Roman"/>
                <w:sz w:val="22"/>
                <w:szCs w:val="22"/>
              </w:rPr>
              <w:t>15</w:t>
            </w:r>
          </w:p>
        </w:tc>
        <w:tc>
          <w:tcPr>
            <w:tcW w:w="1422"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ind w:left="-720" w:right="-242" w:hanging="0"/>
              <w:jc w:val="center"/>
              <w:rPr>
                <w:rFonts w:ascii="Times New Roman" w:hAnsi="Times New Roman"/>
                <w:sz w:val="22"/>
                <w:szCs w:val="22"/>
              </w:rPr>
            </w:pPr>
            <w:r>
              <w:rPr>
                <w:rFonts w:ascii="Times New Roman" w:hAnsi="Times New Roman"/>
                <w:sz w:val="22"/>
                <w:szCs w:val="22"/>
              </w:rPr>
              <w:t>0504071</w:t>
            </w:r>
          </w:p>
        </w:tc>
        <w:tc>
          <w:tcPr>
            <w:tcW w:w="5088"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Журналы операций</w:t>
            </w:r>
          </w:p>
        </w:tc>
        <w:tc>
          <w:tcPr>
            <w:tcW w:w="2389"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Ежемесячно</w:t>
            </w:r>
          </w:p>
        </w:tc>
      </w:tr>
      <w:tr>
        <w:trPr/>
        <w:tc>
          <w:tcPr>
            <w:tcW w:w="671"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jc w:val="center"/>
              <w:rPr>
                <w:rFonts w:ascii="Times New Roman" w:hAnsi="Times New Roman"/>
                <w:sz w:val="22"/>
                <w:szCs w:val="22"/>
              </w:rPr>
            </w:pPr>
            <w:r>
              <w:rPr>
                <w:rFonts w:ascii="Times New Roman" w:hAnsi="Times New Roman"/>
                <w:sz w:val="22"/>
                <w:szCs w:val="22"/>
              </w:rPr>
              <w:t>16</w:t>
            </w:r>
          </w:p>
        </w:tc>
        <w:tc>
          <w:tcPr>
            <w:tcW w:w="1422"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ind w:left="-720" w:right="-242" w:hanging="0"/>
              <w:jc w:val="center"/>
              <w:rPr>
                <w:rFonts w:ascii="Times New Roman" w:hAnsi="Times New Roman"/>
                <w:sz w:val="22"/>
                <w:szCs w:val="22"/>
              </w:rPr>
            </w:pPr>
            <w:r>
              <w:rPr>
                <w:rFonts w:ascii="Times New Roman" w:hAnsi="Times New Roman"/>
                <w:sz w:val="22"/>
                <w:szCs w:val="22"/>
              </w:rPr>
              <w:t>0504072</w:t>
            </w:r>
          </w:p>
        </w:tc>
        <w:tc>
          <w:tcPr>
            <w:tcW w:w="5088"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Главная книга</w:t>
            </w:r>
          </w:p>
        </w:tc>
        <w:tc>
          <w:tcPr>
            <w:tcW w:w="2389"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Ежегодно</w:t>
            </w:r>
          </w:p>
        </w:tc>
      </w:tr>
      <w:tr>
        <w:trPr/>
        <w:tc>
          <w:tcPr>
            <w:tcW w:w="671"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jc w:val="center"/>
              <w:rPr>
                <w:rFonts w:ascii="Times New Roman" w:hAnsi="Times New Roman"/>
                <w:sz w:val="22"/>
                <w:szCs w:val="22"/>
              </w:rPr>
            </w:pPr>
            <w:r>
              <w:rPr>
                <w:rFonts w:ascii="Times New Roman" w:hAnsi="Times New Roman"/>
                <w:sz w:val="22"/>
                <w:szCs w:val="22"/>
              </w:rPr>
              <w:t>17</w:t>
            </w:r>
          </w:p>
        </w:tc>
        <w:tc>
          <w:tcPr>
            <w:tcW w:w="1422"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ind w:left="-720" w:right="-242" w:hanging="0"/>
              <w:jc w:val="center"/>
              <w:rPr>
                <w:rFonts w:ascii="Times New Roman" w:hAnsi="Times New Roman"/>
                <w:sz w:val="22"/>
                <w:szCs w:val="22"/>
              </w:rPr>
            </w:pPr>
            <w:r>
              <w:rPr>
                <w:rFonts w:ascii="Times New Roman" w:hAnsi="Times New Roman"/>
                <w:sz w:val="22"/>
                <w:szCs w:val="22"/>
              </w:rPr>
              <w:t>0504082</w:t>
            </w:r>
          </w:p>
        </w:tc>
        <w:tc>
          <w:tcPr>
            <w:tcW w:w="5088"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Инвентаризационная опись остатков на счетах учета денежных средств</w:t>
            </w:r>
          </w:p>
        </w:tc>
        <w:tc>
          <w:tcPr>
            <w:tcW w:w="2389"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При инвентаризации</w:t>
            </w:r>
          </w:p>
        </w:tc>
      </w:tr>
      <w:tr>
        <w:trPr/>
        <w:tc>
          <w:tcPr>
            <w:tcW w:w="671"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jc w:val="center"/>
              <w:rPr>
                <w:rFonts w:ascii="Times New Roman" w:hAnsi="Times New Roman"/>
                <w:sz w:val="22"/>
                <w:szCs w:val="22"/>
              </w:rPr>
            </w:pPr>
            <w:r>
              <w:rPr>
                <w:rFonts w:ascii="Times New Roman" w:hAnsi="Times New Roman"/>
                <w:sz w:val="22"/>
                <w:szCs w:val="22"/>
              </w:rPr>
              <w:t>18</w:t>
            </w:r>
          </w:p>
        </w:tc>
        <w:tc>
          <w:tcPr>
            <w:tcW w:w="1422"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ind w:left="-720" w:right="-242" w:hanging="0"/>
              <w:jc w:val="center"/>
              <w:rPr>
                <w:rFonts w:ascii="Times New Roman" w:hAnsi="Times New Roman"/>
                <w:sz w:val="22"/>
                <w:szCs w:val="22"/>
              </w:rPr>
            </w:pPr>
            <w:r>
              <w:rPr>
                <w:rFonts w:ascii="Times New Roman" w:hAnsi="Times New Roman"/>
                <w:sz w:val="22"/>
                <w:szCs w:val="22"/>
              </w:rPr>
              <w:t>0504086</w:t>
            </w:r>
          </w:p>
        </w:tc>
        <w:tc>
          <w:tcPr>
            <w:tcW w:w="5088"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Инвентаризационная опись (сличительная ведомость) бланков строгой отчетности и денежных документов</w:t>
            </w:r>
          </w:p>
        </w:tc>
        <w:tc>
          <w:tcPr>
            <w:tcW w:w="2389"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При инвентаризации</w:t>
            </w:r>
          </w:p>
        </w:tc>
      </w:tr>
      <w:tr>
        <w:trPr/>
        <w:tc>
          <w:tcPr>
            <w:tcW w:w="671"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jc w:val="center"/>
              <w:rPr>
                <w:rFonts w:ascii="Times New Roman" w:hAnsi="Times New Roman"/>
                <w:sz w:val="22"/>
                <w:szCs w:val="22"/>
              </w:rPr>
            </w:pPr>
            <w:r>
              <w:rPr>
                <w:rFonts w:ascii="Times New Roman" w:hAnsi="Times New Roman"/>
                <w:sz w:val="22"/>
                <w:szCs w:val="22"/>
              </w:rPr>
              <w:t>19</w:t>
            </w:r>
          </w:p>
        </w:tc>
        <w:tc>
          <w:tcPr>
            <w:tcW w:w="1422"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ind w:left="-720" w:right="-242" w:hanging="0"/>
              <w:jc w:val="center"/>
              <w:rPr>
                <w:rFonts w:ascii="Times New Roman" w:hAnsi="Times New Roman"/>
                <w:sz w:val="22"/>
                <w:szCs w:val="22"/>
              </w:rPr>
            </w:pPr>
            <w:r>
              <w:rPr>
                <w:rFonts w:ascii="Times New Roman" w:hAnsi="Times New Roman"/>
                <w:sz w:val="22"/>
                <w:szCs w:val="22"/>
              </w:rPr>
              <w:t>0504087</w:t>
            </w:r>
          </w:p>
        </w:tc>
        <w:tc>
          <w:tcPr>
            <w:tcW w:w="5088"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Инвентаризационная опись (сличительная ведомость) по объектам нефинансовых активов</w:t>
            </w:r>
          </w:p>
        </w:tc>
        <w:tc>
          <w:tcPr>
            <w:tcW w:w="2389"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При инвентаризации</w:t>
            </w:r>
          </w:p>
        </w:tc>
      </w:tr>
      <w:tr>
        <w:trPr/>
        <w:tc>
          <w:tcPr>
            <w:tcW w:w="671"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jc w:val="center"/>
              <w:rPr>
                <w:rFonts w:ascii="Times New Roman" w:hAnsi="Times New Roman"/>
                <w:sz w:val="22"/>
                <w:szCs w:val="22"/>
              </w:rPr>
            </w:pPr>
            <w:r>
              <w:rPr>
                <w:rFonts w:ascii="Times New Roman" w:hAnsi="Times New Roman"/>
                <w:sz w:val="22"/>
                <w:szCs w:val="22"/>
              </w:rPr>
              <w:t>20</w:t>
            </w:r>
          </w:p>
        </w:tc>
        <w:tc>
          <w:tcPr>
            <w:tcW w:w="1422"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ind w:left="-720" w:right="-242" w:hanging="0"/>
              <w:jc w:val="center"/>
              <w:rPr>
                <w:rFonts w:ascii="Times New Roman" w:hAnsi="Times New Roman"/>
                <w:sz w:val="22"/>
                <w:szCs w:val="22"/>
              </w:rPr>
            </w:pPr>
            <w:r>
              <w:rPr>
                <w:rFonts w:ascii="Times New Roman" w:hAnsi="Times New Roman"/>
                <w:sz w:val="22"/>
                <w:szCs w:val="22"/>
              </w:rPr>
              <w:t>0504088</w:t>
            </w:r>
          </w:p>
        </w:tc>
        <w:tc>
          <w:tcPr>
            <w:tcW w:w="5088"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Инвентаризационная опись наличных денежных средств</w:t>
            </w:r>
          </w:p>
        </w:tc>
        <w:tc>
          <w:tcPr>
            <w:tcW w:w="2389"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При инвентаризации</w:t>
            </w:r>
          </w:p>
        </w:tc>
      </w:tr>
      <w:tr>
        <w:trPr/>
        <w:tc>
          <w:tcPr>
            <w:tcW w:w="671"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jc w:val="center"/>
              <w:rPr>
                <w:rFonts w:ascii="Times New Roman" w:hAnsi="Times New Roman"/>
                <w:sz w:val="22"/>
                <w:szCs w:val="22"/>
              </w:rPr>
            </w:pPr>
            <w:r>
              <w:rPr>
                <w:rFonts w:ascii="Times New Roman" w:hAnsi="Times New Roman"/>
                <w:sz w:val="22"/>
                <w:szCs w:val="22"/>
              </w:rPr>
              <w:t>21</w:t>
            </w:r>
          </w:p>
        </w:tc>
        <w:tc>
          <w:tcPr>
            <w:tcW w:w="1422"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ind w:left="-720" w:right="-242" w:hanging="0"/>
              <w:jc w:val="center"/>
              <w:rPr>
                <w:rFonts w:ascii="Times New Roman" w:hAnsi="Times New Roman"/>
                <w:sz w:val="22"/>
                <w:szCs w:val="22"/>
              </w:rPr>
            </w:pPr>
            <w:r>
              <w:rPr>
                <w:rFonts w:ascii="Times New Roman" w:hAnsi="Times New Roman"/>
                <w:sz w:val="22"/>
                <w:szCs w:val="22"/>
              </w:rPr>
              <w:t>0504089</w:t>
            </w:r>
          </w:p>
        </w:tc>
        <w:tc>
          <w:tcPr>
            <w:tcW w:w="5088"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Инвентаризационная опись расчетов с покупателями, поставщиками и прочими дебиторами и кредиторами</w:t>
            </w:r>
          </w:p>
        </w:tc>
        <w:tc>
          <w:tcPr>
            <w:tcW w:w="2389"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При инвентаризации</w:t>
            </w:r>
          </w:p>
        </w:tc>
      </w:tr>
      <w:tr>
        <w:trPr/>
        <w:tc>
          <w:tcPr>
            <w:tcW w:w="671"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jc w:val="center"/>
              <w:rPr>
                <w:rFonts w:ascii="Times New Roman" w:hAnsi="Times New Roman"/>
                <w:sz w:val="22"/>
                <w:szCs w:val="22"/>
              </w:rPr>
            </w:pPr>
            <w:r>
              <w:rPr>
                <w:rFonts w:ascii="Times New Roman" w:hAnsi="Times New Roman"/>
                <w:sz w:val="22"/>
                <w:szCs w:val="22"/>
              </w:rPr>
              <w:t>22</w:t>
            </w:r>
          </w:p>
        </w:tc>
        <w:tc>
          <w:tcPr>
            <w:tcW w:w="1422"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ind w:left="-720" w:right="-242" w:hanging="0"/>
              <w:jc w:val="center"/>
              <w:rPr>
                <w:rFonts w:ascii="Times New Roman" w:hAnsi="Times New Roman"/>
                <w:sz w:val="22"/>
                <w:szCs w:val="22"/>
              </w:rPr>
            </w:pPr>
            <w:r>
              <w:rPr>
                <w:rFonts w:ascii="Times New Roman" w:hAnsi="Times New Roman"/>
                <w:sz w:val="22"/>
                <w:szCs w:val="22"/>
              </w:rPr>
              <w:t>0504091</w:t>
            </w:r>
          </w:p>
        </w:tc>
        <w:tc>
          <w:tcPr>
            <w:tcW w:w="5088"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Инвентаризационная опись расчетов по доходам</w:t>
            </w:r>
          </w:p>
        </w:tc>
        <w:tc>
          <w:tcPr>
            <w:tcW w:w="2389"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При инвентаризации</w:t>
            </w:r>
          </w:p>
        </w:tc>
      </w:tr>
      <w:tr>
        <w:trPr/>
        <w:tc>
          <w:tcPr>
            <w:tcW w:w="671"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jc w:val="center"/>
              <w:rPr>
                <w:rFonts w:ascii="Times New Roman" w:hAnsi="Times New Roman"/>
                <w:sz w:val="22"/>
                <w:szCs w:val="22"/>
              </w:rPr>
            </w:pPr>
            <w:r>
              <w:rPr>
                <w:rFonts w:ascii="Times New Roman" w:hAnsi="Times New Roman"/>
                <w:sz w:val="22"/>
                <w:szCs w:val="22"/>
              </w:rPr>
              <w:t>23</w:t>
            </w:r>
          </w:p>
        </w:tc>
        <w:tc>
          <w:tcPr>
            <w:tcW w:w="1422" w:type="dxa"/>
            <w:tcBorders>
              <w:top w:val="single" w:sz="4" w:space="0" w:color="000000"/>
              <w:left w:val="single" w:sz="4" w:space="0" w:color="000000"/>
              <w:bottom w:val="single" w:sz="4" w:space="0" w:color="000000"/>
              <w:right w:val="single" w:sz="4" w:space="0" w:color="000000"/>
            </w:tcBorders>
          </w:tcPr>
          <w:p>
            <w:pPr>
              <w:pStyle w:val="ConsPlusNormal"/>
              <w:widowControl w:val="false"/>
              <w:spacing w:beforeAutospacing="1" w:after="0"/>
              <w:ind w:left="-720" w:right="-242" w:hanging="0"/>
              <w:jc w:val="center"/>
              <w:rPr>
                <w:rFonts w:ascii="Times New Roman" w:hAnsi="Times New Roman"/>
                <w:sz w:val="22"/>
                <w:szCs w:val="22"/>
              </w:rPr>
            </w:pPr>
            <w:r>
              <w:rPr>
                <w:rFonts w:ascii="Times New Roman" w:hAnsi="Times New Roman"/>
                <w:sz w:val="22"/>
                <w:szCs w:val="22"/>
              </w:rPr>
              <w:t>0504092</w:t>
            </w:r>
          </w:p>
        </w:tc>
        <w:tc>
          <w:tcPr>
            <w:tcW w:w="5088"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Ведомость расхождений по результатам инвентаризации</w:t>
            </w:r>
          </w:p>
        </w:tc>
        <w:tc>
          <w:tcPr>
            <w:tcW w:w="2389" w:type="dxa"/>
            <w:tcBorders>
              <w:top w:val="single" w:sz="4" w:space="0" w:color="000000"/>
              <w:left w:val="single" w:sz="4" w:space="0" w:color="000000"/>
              <w:bottom w:val="single" w:sz="4" w:space="0" w:color="000000"/>
              <w:right w:val="single" w:sz="4" w:space="0" w:color="000000"/>
            </w:tcBorders>
          </w:tcPr>
          <w:p>
            <w:pPr>
              <w:pStyle w:val="ConsPlusNormal"/>
              <w:widowControl w:val="false"/>
              <w:ind w:hanging="0"/>
              <w:rPr>
                <w:rFonts w:ascii="Times New Roman" w:hAnsi="Times New Roman"/>
                <w:sz w:val="22"/>
                <w:szCs w:val="22"/>
              </w:rPr>
            </w:pPr>
            <w:r>
              <w:rPr>
                <w:rFonts w:ascii="Times New Roman" w:hAnsi="Times New Roman"/>
                <w:sz w:val="22"/>
                <w:szCs w:val="22"/>
              </w:rPr>
              <w:t>При инвентаризации</w:t>
            </w:r>
          </w:p>
        </w:tc>
      </w:tr>
    </w:tbl>
    <w:p>
      <w:pPr>
        <w:pStyle w:val="ConsPlusNormal"/>
        <w:jc w:val="center"/>
        <w:rPr>
          <w:rFonts w:ascii="Times New Roman" w:hAnsi="Times New Roman"/>
          <w:b/>
          <w:b/>
          <w:bCs/>
          <w:sz w:val="24"/>
          <w:szCs w:val="24"/>
        </w:rPr>
      </w:pPr>
      <w:r>
        <w:rPr>
          <w:rFonts w:ascii="Times New Roman" w:hAnsi="Times New Roman"/>
          <w:b/>
          <w:bCs/>
          <w:sz w:val="24"/>
          <w:szCs w:val="24"/>
        </w:rPr>
      </w:r>
    </w:p>
    <w:p>
      <w:pPr>
        <w:pStyle w:val="ConsPlusNormal"/>
        <w:jc w:val="center"/>
        <w:rPr>
          <w:rFonts w:ascii="Times New Roman" w:hAnsi="Times New Roman"/>
          <w:sz w:val="24"/>
          <w:szCs w:val="24"/>
        </w:rPr>
      </w:pPr>
      <w:r>
        <w:rPr>
          <w:rFonts w:ascii="Times New Roman" w:hAnsi="Times New Roman"/>
          <w:sz w:val="24"/>
          <w:szCs w:val="24"/>
        </w:rPr>
      </w:r>
    </w:p>
    <w:p>
      <w:pPr>
        <w:pStyle w:val="ConsPlusNormal"/>
        <w:ind w:firstLine="540"/>
        <w:jc w:val="both"/>
        <w:rPr>
          <w:rFonts w:ascii="Times New Roman" w:hAnsi="Times New Roman"/>
          <w:sz w:val="24"/>
          <w:szCs w:val="24"/>
        </w:rPr>
      </w:pPr>
      <w:r>
        <w:rPr>
          <w:rFonts w:ascii="Times New Roman" w:hAnsi="Times New Roman"/>
          <w:sz w:val="24"/>
          <w:szCs w:val="24"/>
        </w:rPr>
      </w:r>
    </w:p>
    <w:p>
      <w:pPr>
        <w:pStyle w:val="Normal"/>
        <w:tabs>
          <w:tab w:val="clear" w:pos="708"/>
          <w:tab w:val="left" w:pos="1005" w:leader="none"/>
        </w:tabs>
        <w:spacing w:lineRule="auto" w:line="240" w:beforeAutospacing="1" w:afterAutospacing="1"/>
        <w:rPr>
          <w:rFonts w:ascii="Times New Roman" w:hAnsi="Times New Roman"/>
          <w:sz w:val="24"/>
          <w:szCs w:val="24"/>
        </w:rPr>
      </w:pPr>
      <w:r>
        <w:rPr>
          <w:rFonts w:ascii="Times New Roman" w:hAnsi="Times New Roman"/>
          <w:sz w:val="24"/>
          <w:szCs w:val="24"/>
        </w:rPr>
      </w:r>
    </w:p>
    <w:p>
      <w:pPr>
        <w:pStyle w:val="Normal"/>
        <w:tabs>
          <w:tab w:val="clear" w:pos="708"/>
          <w:tab w:val="left" w:pos="1005" w:leader="none"/>
        </w:tabs>
        <w:spacing w:lineRule="auto" w:line="240" w:beforeAutospacing="1" w:afterAutospacing="1"/>
        <w:rPr>
          <w:rFonts w:ascii="Times New Roman" w:hAnsi="Times New Roman"/>
          <w:sz w:val="24"/>
          <w:szCs w:val="24"/>
        </w:rPr>
      </w:pPr>
      <w:r>
        <w:rPr>
          <w:rFonts w:ascii="Times New Roman" w:hAnsi="Times New Roman"/>
          <w:sz w:val="24"/>
          <w:szCs w:val="24"/>
        </w:rPr>
        <w:tab/>
      </w:r>
    </w:p>
    <w:p>
      <w:pPr>
        <w:pStyle w:val="ConsPlusNormal"/>
        <w:numPr>
          <w:ilvl w:val="0"/>
          <w:numId w:val="0"/>
        </w:numPr>
        <w:ind w:left="0" w:firstLine="720"/>
        <w:jc w:val="right"/>
        <w:outlineLvl w:val="0"/>
        <w:rPr>
          <w:rFonts w:ascii="Times New Roman" w:hAnsi="Times New Roman"/>
          <w:sz w:val="24"/>
          <w:szCs w:val="24"/>
        </w:rPr>
      </w:pPr>
      <w:r>
        <w:rPr>
          <w:rFonts w:ascii="Times New Roman" w:hAnsi="Times New Roman"/>
          <w:sz w:val="24"/>
          <w:szCs w:val="24"/>
        </w:rPr>
        <w:t>Приложение № 5</w:t>
      </w:r>
    </w:p>
    <w:p>
      <w:pPr>
        <w:pStyle w:val="ConsPlusNormal"/>
        <w:jc w:val="right"/>
        <w:rPr>
          <w:rFonts w:ascii="Times New Roman" w:hAnsi="Times New Roman"/>
          <w:sz w:val="24"/>
          <w:szCs w:val="24"/>
        </w:rPr>
      </w:pPr>
      <w:r>
        <w:rPr>
          <w:rFonts w:ascii="Times New Roman" w:hAnsi="Times New Roman"/>
          <w:sz w:val="24"/>
          <w:szCs w:val="24"/>
        </w:rPr>
        <w:t>к Учетной политике от 11.01.2021г.</w:t>
      </w:r>
    </w:p>
    <w:p>
      <w:pPr>
        <w:pStyle w:val="Normal"/>
        <w:spacing w:lineRule="auto" w:line="240" w:beforeAutospacing="1" w:afterAutospacing="1"/>
        <w:jc w:val="center"/>
        <w:rPr>
          <w:rFonts w:ascii="Times New Roman" w:hAnsi="Times New Roman"/>
          <w:b/>
          <w:b/>
          <w:sz w:val="24"/>
          <w:szCs w:val="24"/>
          <w:lang w:eastAsia="ru-RU"/>
        </w:rPr>
      </w:pPr>
      <w:r>
        <w:rPr>
          <w:rFonts w:ascii="Times New Roman" w:hAnsi="Times New Roman"/>
          <w:b/>
          <w:sz w:val="24"/>
          <w:szCs w:val="24"/>
          <w:lang w:eastAsia="ru-RU"/>
        </w:rPr>
        <w:t>Положение о внутреннем контроле в государственном (муниципальном) учреждении</w:t>
      </w:r>
    </w:p>
    <w:p>
      <w:pPr>
        <w:pStyle w:val="Normal"/>
        <w:spacing w:lineRule="auto" w:line="240" w:beforeAutospacing="1" w:afterAutospacing="1"/>
        <w:jc w:val="both"/>
        <w:rPr>
          <w:rFonts w:ascii="Times New Roman" w:hAnsi="Times New Roman"/>
          <w:sz w:val="24"/>
          <w:szCs w:val="24"/>
          <w:lang w:eastAsia="ru-RU"/>
        </w:rPr>
      </w:pPr>
      <w:r>
        <w:rPr>
          <w:rFonts w:ascii="Times New Roman" w:hAnsi="Times New Roman"/>
          <w:b/>
          <w:bCs/>
          <w:sz w:val="24"/>
          <w:szCs w:val="24"/>
          <w:lang w:eastAsia="ru-RU"/>
        </w:rPr>
        <w:t xml:space="preserve">1. Общие положения </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xml:space="preserve">1.1. Настоящее положение о внутреннем контроле разработано в соответствии с законодательством РФ и уставом учреждения, устанавливает единые цели, правила и принципы проведения внутреннего контроля. </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xml:space="preserve">1.2. Внутренний контроль направлен на создание системы соблюдения законодательства РФ в сфере финансовой деятельности, внутренних процедур составления и исполнения Плана финансово-хозяйственной деятельности, повышение качества составления и достоверности бухгалтерской отчетности и ведения бухгалтерского учета, а также на повышение результативности использования средств бюджета. </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xml:space="preserve">1.3. Основной целью внутреннего контроля является подтверждение достоверности бухгалтерского учета и отчетности учреждения, соблюдение действующего законодательства РФ, регулирующего порядок осуществления финансово-хозяйственной деятельности. Система контроля призвана обеспечить: </w:t>
      </w:r>
    </w:p>
    <w:p>
      <w:pPr>
        <w:pStyle w:val="ListParagraph"/>
        <w:numPr>
          <w:ilvl w:val="0"/>
          <w:numId w:val="26"/>
        </w:numPr>
        <w:spacing w:lineRule="auto" w:line="240" w:before="0" w:after="0"/>
        <w:contextualSpacing/>
        <w:jc w:val="both"/>
        <w:rPr>
          <w:rFonts w:ascii="Times New Roman" w:hAnsi="Times New Roman"/>
          <w:sz w:val="24"/>
          <w:szCs w:val="24"/>
          <w:lang w:eastAsia="ru-RU"/>
        </w:rPr>
      </w:pPr>
      <w:r>
        <w:rPr>
          <w:rFonts w:ascii="Times New Roman" w:hAnsi="Times New Roman"/>
          <w:sz w:val="24"/>
          <w:szCs w:val="24"/>
          <w:lang w:eastAsia="ru-RU"/>
        </w:rPr>
        <w:t>точность и полноту документации бухгалтерского учета;</w:t>
      </w:r>
    </w:p>
    <w:p>
      <w:pPr>
        <w:pStyle w:val="ListParagraph"/>
        <w:numPr>
          <w:ilvl w:val="0"/>
          <w:numId w:val="26"/>
        </w:numPr>
        <w:spacing w:lineRule="auto" w:line="240" w:before="0" w:after="0"/>
        <w:contextualSpacing/>
        <w:jc w:val="both"/>
        <w:rPr>
          <w:rFonts w:ascii="Times New Roman" w:hAnsi="Times New Roman"/>
          <w:sz w:val="24"/>
          <w:szCs w:val="24"/>
          <w:lang w:eastAsia="ru-RU"/>
        </w:rPr>
      </w:pPr>
      <w:r>
        <w:rPr>
          <w:rFonts w:ascii="Times New Roman" w:hAnsi="Times New Roman"/>
          <w:sz w:val="24"/>
          <w:szCs w:val="24"/>
          <w:lang w:eastAsia="ru-RU"/>
        </w:rPr>
        <w:t>своевременность подготовки достоверной бухгалтерской отчетности;</w:t>
      </w:r>
    </w:p>
    <w:p>
      <w:pPr>
        <w:pStyle w:val="ListParagraph"/>
        <w:numPr>
          <w:ilvl w:val="0"/>
          <w:numId w:val="26"/>
        </w:numPr>
        <w:spacing w:lineRule="auto" w:line="240" w:before="0" w:after="0"/>
        <w:contextualSpacing/>
        <w:jc w:val="both"/>
        <w:rPr>
          <w:rFonts w:ascii="Times New Roman" w:hAnsi="Times New Roman"/>
          <w:sz w:val="24"/>
          <w:szCs w:val="24"/>
          <w:lang w:eastAsia="ru-RU"/>
        </w:rPr>
      </w:pPr>
      <w:r>
        <w:rPr>
          <w:rFonts w:ascii="Times New Roman" w:hAnsi="Times New Roman"/>
          <w:sz w:val="24"/>
          <w:szCs w:val="24"/>
          <w:lang w:eastAsia="ru-RU"/>
        </w:rPr>
        <w:t>предотвращение ошибок и искажений;</w:t>
      </w:r>
    </w:p>
    <w:p>
      <w:pPr>
        <w:pStyle w:val="ListParagraph"/>
        <w:numPr>
          <w:ilvl w:val="0"/>
          <w:numId w:val="26"/>
        </w:numPr>
        <w:spacing w:lineRule="auto" w:line="240" w:before="0" w:after="0"/>
        <w:contextualSpacing/>
        <w:jc w:val="both"/>
        <w:rPr>
          <w:rFonts w:ascii="Times New Roman" w:hAnsi="Times New Roman"/>
          <w:sz w:val="24"/>
          <w:szCs w:val="24"/>
          <w:lang w:eastAsia="ru-RU"/>
        </w:rPr>
      </w:pPr>
      <w:r>
        <w:rPr>
          <w:rFonts w:ascii="Times New Roman" w:hAnsi="Times New Roman"/>
          <w:sz w:val="24"/>
          <w:szCs w:val="24"/>
          <w:lang w:eastAsia="ru-RU"/>
        </w:rPr>
        <w:t xml:space="preserve">исполнение приказов и распоряжений руководителя учреждения; </w:t>
      </w:r>
    </w:p>
    <w:p>
      <w:pPr>
        <w:pStyle w:val="ListParagraph"/>
        <w:numPr>
          <w:ilvl w:val="0"/>
          <w:numId w:val="26"/>
        </w:numPr>
        <w:spacing w:lineRule="auto" w:line="240" w:before="0" w:after="0"/>
        <w:contextualSpacing/>
        <w:jc w:val="both"/>
        <w:rPr>
          <w:rFonts w:ascii="Times New Roman" w:hAnsi="Times New Roman"/>
          <w:sz w:val="24"/>
          <w:szCs w:val="24"/>
          <w:lang w:eastAsia="ru-RU"/>
        </w:rPr>
      </w:pPr>
      <w:r>
        <w:rPr>
          <w:rFonts w:ascii="Times New Roman" w:hAnsi="Times New Roman"/>
          <w:sz w:val="24"/>
          <w:szCs w:val="24"/>
          <w:lang w:eastAsia="ru-RU"/>
        </w:rPr>
        <w:t>выполнение планов финансово-хозяйственной деятельности учреждения;</w:t>
      </w:r>
    </w:p>
    <w:p>
      <w:pPr>
        <w:pStyle w:val="ListParagraph"/>
        <w:numPr>
          <w:ilvl w:val="0"/>
          <w:numId w:val="26"/>
        </w:numPr>
        <w:spacing w:lineRule="auto" w:line="240" w:before="0" w:after="0"/>
        <w:contextualSpacing/>
        <w:jc w:val="both"/>
        <w:rPr>
          <w:rFonts w:ascii="Times New Roman" w:hAnsi="Times New Roman"/>
          <w:sz w:val="24"/>
          <w:szCs w:val="24"/>
          <w:lang w:eastAsia="ru-RU"/>
        </w:rPr>
      </w:pPr>
      <w:r>
        <w:rPr>
          <w:rFonts w:ascii="Times New Roman" w:hAnsi="Times New Roman"/>
          <w:sz w:val="24"/>
          <w:szCs w:val="24"/>
          <w:lang w:eastAsia="ru-RU"/>
        </w:rPr>
        <w:t>сохранность имущества учреждения.</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xml:space="preserve">1.4. Основными задачами внутреннего контроля являются: </w:t>
      </w:r>
    </w:p>
    <w:p>
      <w:pPr>
        <w:pStyle w:val="ListParagraph"/>
        <w:numPr>
          <w:ilvl w:val="0"/>
          <w:numId w:val="27"/>
        </w:numPr>
        <w:spacing w:lineRule="auto" w:line="240" w:before="0" w:after="0"/>
        <w:contextualSpacing/>
        <w:jc w:val="both"/>
        <w:rPr>
          <w:rFonts w:ascii="Times New Roman" w:hAnsi="Times New Roman"/>
          <w:sz w:val="24"/>
          <w:szCs w:val="24"/>
          <w:lang w:eastAsia="ru-RU"/>
        </w:rPr>
      </w:pPr>
      <w:r>
        <w:rPr>
          <w:rFonts w:ascii="Times New Roman" w:hAnsi="Times New Roman"/>
          <w:sz w:val="24"/>
          <w:szCs w:val="24"/>
          <w:lang w:eastAsia="ru-RU"/>
        </w:rPr>
        <w:t xml:space="preserve">установление соответствия проводимых финансовых операций в части финансово-хозяйственной деятельности и их отражение в бухгалтерском учете и отчетности требованиям нормативных правовых актов; </w:t>
      </w:r>
    </w:p>
    <w:p>
      <w:pPr>
        <w:pStyle w:val="ListParagraph"/>
        <w:numPr>
          <w:ilvl w:val="0"/>
          <w:numId w:val="27"/>
        </w:numPr>
        <w:spacing w:lineRule="auto" w:line="240" w:before="0" w:after="0"/>
        <w:contextualSpacing/>
        <w:jc w:val="both"/>
        <w:rPr>
          <w:rFonts w:ascii="Times New Roman" w:hAnsi="Times New Roman"/>
          <w:sz w:val="24"/>
          <w:szCs w:val="24"/>
          <w:lang w:eastAsia="ru-RU"/>
        </w:rPr>
      </w:pPr>
      <w:r>
        <w:rPr>
          <w:rFonts w:ascii="Times New Roman" w:hAnsi="Times New Roman"/>
          <w:sz w:val="24"/>
          <w:szCs w:val="24"/>
          <w:lang w:eastAsia="ru-RU"/>
        </w:rPr>
        <w:t xml:space="preserve">установление соответствия осуществляемых операций регламентам, полномочиям сотрудников; </w:t>
      </w:r>
    </w:p>
    <w:p>
      <w:pPr>
        <w:pStyle w:val="ListParagraph"/>
        <w:numPr>
          <w:ilvl w:val="0"/>
          <w:numId w:val="27"/>
        </w:numPr>
        <w:spacing w:lineRule="auto" w:line="240" w:before="0" w:after="0"/>
        <w:contextualSpacing/>
        <w:jc w:val="both"/>
        <w:rPr>
          <w:rFonts w:ascii="Times New Roman" w:hAnsi="Times New Roman"/>
          <w:sz w:val="24"/>
          <w:szCs w:val="24"/>
          <w:lang w:eastAsia="ru-RU"/>
        </w:rPr>
      </w:pPr>
      <w:r>
        <w:rPr>
          <w:rFonts w:ascii="Times New Roman" w:hAnsi="Times New Roman"/>
          <w:sz w:val="24"/>
          <w:szCs w:val="24"/>
          <w:lang w:eastAsia="ru-RU"/>
        </w:rPr>
        <w:t xml:space="preserve">соблюдение установленных технологических процессов и операций при осуществлении функциональной деятельности. </w:t>
      </w:r>
    </w:p>
    <w:p>
      <w:pPr>
        <w:pStyle w:val="ListParagraph"/>
        <w:spacing w:lineRule="auto" w:line="240" w:before="0" w:after="0"/>
        <w:contextualSpacing/>
        <w:jc w:val="both"/>
        <w:rPr>
          <w:rFonts w:ascii="Times New Roman" w:hAnsi="Times New Roman"/>
          <w:sz w:val="24"/>
          <w:szCs w:val="24"/>
          <w:lang w:eastAsia="ru-RU"/>
        </w:rPr>
      </w:pPr>
      <w:r>
        <w:rPr>
          <w:rFonts w:ascii="Times New Roman" w:hAnsi="Times New Roman"/>
          <w:sz w:val="24"/>
          <w:szCs w:val="24"/>
          <w:lang w:eastAsia="ru-RU"/>
        </w:rPr>
      </w:r>
    </w:p>
    <w:p>
      <w:pPr>
        <w:pStyle w:val="ListParagraph"/>
        <w:numPr>
          <w:ilvl w:val="1"/>
          <w:numId w:val="32"/>
        </w:numPr>
        <w:spacing w:lineRule="auto" w:line="240" w:before="0" w:after="0"/>
        <w:contextualSpacing/>
        <w:jc w:val="both"/>
        <w:rPr>
          <w:rFonts w:ascii="Times New Roman" w:hAnsi="Times New Roman"/>
          <w:color w:val="000000"/>
          <w:sz w:val="24"/>
          <w:szCs w:val="24"/>
        </w:rPr>
      </w:pPr>
      <w:r>
        <w:rPr>
          <w:rFonts w:ascii="Times New Roman" w:hAnsi="Times New Roman"/>
          <w:color w:val="000000"/>
          <w:sz w:val="24"/>
          <w:szCs w:val="24"/>
        </w:rPr>
        <w:t>Основной функцией внутреннего финансового контроля являются:</w:t>
      </w:r>
    </w:p>
    <w:p>
      <w:pPr>
        <w:pStyle w:val="NormalWeb"/>
        <w:numPr>
          <w:ilvl w:val="0"/>
          <w:numId w:val="33"/>
        </w:numPr>
        <w:shd w:val="clear" w:color="auto" w:fill="FFFFFF"/>
        <w:spacing w:beforeAutospacing="0" w:before="0" w:afterAutospacing="0" w:after="0"/>
        <w:jc w:val="both"/>
        <w:rPr>
          <w:color w:val="000000"/>
        </w:rPr>
      </w:pPr>
      <w:r>
        <w:rPr>
          <w:color w:val="000000"/>
        </w:rPr>
        <w:t>осуществление финансового контроля путем проведения соответствующих проверок по разработанным направлениям согласно плану;</w:t>
      </w:r>
    </w:p>
    <w:p>
      <w:pPr>
        <w:pStyle w:val="NormalWeb"/>
        <w:numPr>
          <w:ilvl w:val="0"/>
          <w:numId w:val="0"/>
        </w:numPr>
        <w:shd w:val="clear" w:color="auto" w:fill="FFFFFF"/>
        <w:spacing w:beforeAutospacing="0" w:before="0" w:afterAutospacing="0" w:after="0"/>
        <w:ind w:left="720" w:hanging="0"/>
        <w:jc w:val="both"/>
        <w:rPr>
          <w:color w:val="000000"/>
        </w:rPr>
      </w:pPr>
      <w:r>
        <w:rPr>
          <w:color w:val="000000"/>
        </w:rPr>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xml:space="preserve">1.6. Внутренний </w:t>
      </w:r>
      <w:r>
        <w:rPr>
          <w:rFonts w:ascii="Times New Roman" w:hAnsi="Times New Roman"/>
          <w:color w:val="000000"/>
          <w:sz w:val="24"/>
          <w:szCs w:val="24"/>
        </w:rPr>
        <w:t>финансовый контроль в МБДОУ проводится по следующим направлениям:</w:t>
      </w:r>
    </w:p>
    <w:p>
      <w:pPr>
        <w:pStyle w:val="NormalWeb"/>
        <w:numPr>
          <w:ilvl w:val="0"/>
          <w:numId w:val="28"/>
        </w:numPr>
        <w:shd w:val="clear" w:color="auto" w:fill="FFFFFF"/>
        <w:spacing w:beforeAutospacing="0" w:before="0" w:afterAutospacing="0" w:after="0"/>
        <w:jc w:val="both"/>
        <w:rPr>
          <w:color w:val="000000"/>
        </w:rPr>
      </w:pPr>
      <w:r>
        <w:rPr>
          <w:color w:val="000000"/>
        </w:rPr>
        <w:t xml:space="preserve">проверка целевого использования бюджетных средств; </w:t>
      </w:r>
    </w:p>
    <w:p>
      <w:pPr>
        <w:pStyle w:val="NormalWeb"/>
        <w:numPr>
          <w:ilvl w:val="0"/>
          <w:numId w:val="28"/>
        </w:numPr>
        <w:shd w:val="clear" w:color="auto" w:fill="FFFFFF"/>
        <w:spacing w:beforeAutospacing="0" w:before="0" w:afterAutospacing="0" w:after="0"/>
        <w:jc w:val="both"/>
        <w:rPr>
          <w:color w:val="000000"/>
        </w:rPr>
      </w:pPr>
      <w:r>
        <w:rPr>
          <w:color w:val="000000"/>
        </w:rPr>
        <w:t xml:space="preserve">проверка наличия, состояния и обеспечения сохранности имущества; </w:t>
      </w:r>
    </w:p>
    <w:p>
      <w:pPr>
        <w:pStyle w:val="NormalWeb"/>
        <w:numPr>
          <w:ilvl w:val="0"/>
          <w:numId w:val="28"/>
        </w:numPr>
        <w:shd w:val="clear" w:color="auto" w:fill="FFFFFF"/>
        <w:spacing w:beforeAutospacing="0" w:before="0" w:afterAutospacing="0" w:after="0"/>
        <w:jc w:val="both"/>
        <w:rPr>
          <w:color w:val="000000"/>
        </w:rPr>
      </w:pPr>
      <w:r>
        <w:rPr>
          <w:color w:val="000000"/>
        </w:rPr>
        <w:t>проверка расчетов с дебиторами и кредиторами, по начислению пособий, заработной платы и иных выплат;</w:t>
      </w:r>
    </w:p>
    <w:p>
      <w:pPr>
        <w:pStyle w:val="NormalWeb"/>
        <w:numPr>
          <w:ilvl w:val="0"/>
          <w:numId w:val="28"/>
        </w:numPr>
        <w:shd w:val="clear" w:color="auto" w:fill="FFFFFF"/>
        <w:spacing w:beforeAutospacing="0" w:before="0" w:afterAutospacing="0" w:after="0"/>
        <w:jc w:val="both"/>
        <w:rPr>
          <w:color w:val="000000"/>
        </w:rPr>
      </w:pPr>
      <w:r>
        <w:rPr>
          <w:color w:val="000000"/>
        </w:rPr>
        <w:t xml:space="preserve">контроль над целевым использованием субсидий; </w:t>
      </w:r>
    </w:p>
    <w:p>
      <w:pPr>
        <w:pStyle w:val="NormalWeb"/>
        <w:numPr>
          <w:ilvl w:val="0"/>
          <w:numId w:val="28"/>
        </w:numPr>
        <w:shd w:val="clear" w:color="auto" w:fill="FFFFFF"/>
        <w:spacing w:beforeAutospacing="0" w:before="0" w:afterAutospacing="0" w:after="0"/>
        <w:jc w:val="both"/>
        <w:rPr>
          <w:color w:val="000000"/>
        </w:rPr>
      </w:pPr>
      <w:r>
        <w:rPr>
          <w:color w:val="000000"/>
        </w:rPr>
        <w:t xml:space="preserve">контроль за документальным оформлением и отражением в бухгалтерском и налоговом учете хозяйственных операций; </w:t>
      </w:r>
    </w:p>
    <w:p>
      <w:pPr>
        <w:pStyle w:val="NormalWeb"/>
        <w:numPr>
          <w:ilvl w:val="0"/>
          <w:numId w:val="28"/>
        </w:numPr>
        <w:shd w:val="clear" w:color="auto" w:fill="FFFFFF"/>
        <w:spacing w:beforeAutospacing="0" w:before="0" w:afterAutospacing="0" w:after="0"/>
        <w:jc w:val="both"/>
        <w:rPr>
          <w:color w:val="000000"/>
        </w:rPr>
      </w:pPr>
      <w:r>
        <w:rPr>
          <w:color w:val="000000"/>
        </w:rPr>
        <w:t xml:space="preserve">проверка правильности составления бухгалтерской и налоговой отчетности. </w:t>
      </w:r>
    </w:p>
    <w:p>
      <w:pPr>
        <w:pStyle w:val="Normal"/>
        <w:spacing w:lineRule="auto" w:line="240" w:beforeAutospacing="1" w:afterAutospacing="1"/>
        <w:jc w:val="both"/>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Autospacing="1" w:afterAutospacing="1"/>
        <w:jc w:val="both"/>
        <w:rPr>
          <w:rFonts w:ascii="Times New Roman" w:hAnsi="Times New Roman"/>
          <w:sz w:val="24"/>
          <w:szCs w:val="24"/>
          <w:lang w:eastAsia="ru-RU"/>
        </w:rPr>
      </w:pPr>
      <w:r>
        <w:rPr>
          <w:rFonts w:ascii="Times New Roman" w:hAnsi="Times New Roman"/>
          <w:b/>
          <w:bCs/>
          <w:sz w:val="24"/>
          <w:szCs w:val="24"/>
          <w:lang w:eastAsia="ru-RU"/>
        </w:rPr>
        <w:t xml:space="preserve">2. Организация внутреннего контроля </w:t>
      </w:r>
    </w:p>
    <w:p>
      <w:pPr>
        <w:pStyle w:val="Normal"/>
        <w:spacing w:lineRule="auto" w:line="240" w:beforeAutospacing="1" w:afterAutospacing="1"/>
        <w:jc w:val="both"/>
        <w:rPr>
          <w:rFonts w:ascii="Times New Roman" w:hAnsi="Times New Roman"/>
          <w:sz w:val="24"/>
          <w:szCs w:val="24"/>
          <w:lang w:eastAsia="ru-RU"/>
        </w:rPr>
      </w:pPr>
      <w:r>
        <w:rPr>
          <w:rFonts w:ascii="Times New Roman" w:hAnsi="Times New Roman"/>
          <w:sz w:val="24"/>
          <w:szCs w:val="24"/>
          <w:lang w:eastAsia="ru-RU"/>
        </w:rPr>
        <w:t xml:space="preserve">2.1. Внутренний контроль в учреждении осуществляется в следующих формах: </w:t>
      </w:r>
    </w:p>
    <w:p>
      <w:pPr>
        <w:pStyle w:val="Normal"/>
        <w:spacing w:lineRule="auto" w:line="240" w:beforeAutospacing="1" w:afterAutospacing="1"/>
        <w:jc w:val="both"/>
        <w:rPr>
          <w:rFonts w:ascii="Times New Roman" w:hAnsi="Times New Roman"/>
          <w:sz w:val="24"/>
          <w:szCs w:val="24"/>
          <w:lang w:eastAsia="ru-RU"/>
        </w:rPr>
      </w:pPr>
      <w:r>
        <w:rPr>
          <w:rFonts w:ascii="Times New Roman" w:hAnsi="Times New Roman"/>
          <w:b/>
          <w:sz w:val="24"/>
          <w:szCs w:val="24"/>
          <w:lang w:eastAsia="ru-RU"/>
        </w:rPr>
        <w:t>Предварительный контроль</w:t>
      </w:r>
      <w:r>
        <w:rPr>
          <w:rFonts w:ascii="Times New Roman" w:hAnsi="Times New Roman"/>
          <w:sz w:val="24"/>
          <w:szCs w:val="24"/>
          <w:lang w:eastAsia="ru-RU"/>
        </w:rPr>
        <w:t xml:space="preserve"> </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Контроль осуществляется до регистрации хозяйственной операции. Позволяет определить, правомерность проведения операции, полноту и правильность отражения операции в первичном учетном документе. Предварительный контроль осуществляется:</w:t>
      </w:r>
    </w:p>
    <w:p>
      <w:pPr>
        <w:pStyle w:val="ListParagraph"/>
        <w:numPr>
          <w:ilvl w:val="0"/>
          <w:numId w:val="31"/>
        </w:numPr>
        <w:spacing w:lineRule="auto" w:line="240" w:before="0" w:after="0"/>
        <w:contextualSpacing/>
        <w:jc w:val="both"/>
        <w:rPr>
          <w:rFonts w:ascii="Times New Roman" w:hAnsi="Times New Roman"/>
          <w:sz w:val="24"/>
          <w:szCs w:val="24"/>
          <w:lang w:eastAsia="ru-RU"/>
        </w:rPr>
      </w:pPr>
      <w:r>
        <w:rPr>
          <w:rFonts w:ascii="Times New Roman" w:hAnsi="Times New Roman"/>
          <w:b/>
          <w:i/>
          <w:sz w:val="24"/>
          <w:szCs w:val="24"/>
          <w:lang w:eastAsia="ru-RU"/>
        </w:rPr>
        <w:t>Сотрудниками бухгалтерии</w:t>
      </w:r>
      <w:r>
        <w:rPr>
          <w:rFonts w:ascii="Times New Roman" w:hAnsi="Times New Roman"/>
          <w:sz w:val="24"/>
          <w:szCs w:val="24"/>
          <w:lang w:eastAsia="ru-RU"/>
        </w:rPr>
        <w:t xml:space="preserve"> при составлении Плана финансово-хозяйственной деятельности учреждения. </w:t>
      </w:r>
    </w:p>
    <w:p>
      <w:pPr>
        <w:pStyle w:val="ListParagraph"/>
        <w:numPr>
          <w:ilvl w:val="0"/>
          <w:numId w:val="31"/>
        </w:numPr>
        <w:spacing w:lineRule="auto" w:line="240" w:before="0" w:after="0"/>
        <w:contextualSpacing/>
        <w:jc w:val="both"/>
        <w:rPr>
          <w:rFonts w:ascii="Times New Roman" w:hAnsi="Times New Roman"/>
          <w:sz w:val="24"/>
          <w:szCs w:val="24"/>
          <w:lang w:eastAsia="ru-RU"/>
        </w:rPr>
      </w:pPr>
      <w:r>
        <w:rPr>
          <w:rFonts w:ascii="Times New Roman" w:hAnsi="Times New Roman"/>
          <w:b/>
          <w:i/>
          <w:sz w:val="24"/>
          <w:szCs w:val="24"/>
          <w:lang w:eastAsia="ru-RU"/>
        </w:rPr>
        <w:t>Сотрудниками контрактной службы</w:t>
      </w:r>
      <w:r>
        <w:rPr>
          <w:rFonts w:ascii="Times New Roman" w:hAnsi="Times New Roman"/>
          <w:sz w:val="24"/>
          <w:szCs w:val="24"/>
          <w:lang w:eastAsia="ru-RU"/>
        </w:rPr>
        <w:t xml:space="preserve"> – при формировании Плана закупок учреждения </w:t>
      </w:r>
    </w:p>
    <w:p>
      <w:pPr>
        <w:pStyle w:val="Normal"/>
        <w:spacing w:lineRule="auto" w:line="240" w:beforeAutospacing="1" w:afterAutospacing="1"/>
        <w:jc w:val="both"/>
        <w:rPr>
          <w:rFonts w:ascii="Times New Roman" w:hAnsi="Times New Roman"/>
          <w:sz w:val="24"/>
          <w:szCs w:val="24"/>
          <w:lang w:eastAsia="ru-RU"/>
        </w:rPr>
      </w:pPr>
      <w:r>
        <w:rPr>
          <w:rFonts w:ascii="Times New Roman" w:hAnsi="Times New Roman"/>
          <w:b/>
          <w:sz w:val="24"/>
          <w:szCs w:val="24"/>
          <w:lang w:eastAsia="ru-RU"/>
        </w:rPr>
        <w:t>Текущий контроль</w:t>
      </w:r>
      <w:r>
        <w:rPr>
          <w:rFonts w:ascii="Times New Roman" w:hAnsi="Times New Roman"/>
          <w:sz w:val="24"/>
          <w:szCs w:val="24"/>
          <w:lang w:eastAsia="ru-RU"/>
        </w:rPr>
        <w:t xml:space="preserve"> </w:t>
      </w:r>
    </w:p>
    <w:p>
      <w:pPr>
        <w:pStyle w:val="Normal"/>
        <w:spacing w:lineRule="auto" w:line="240" w:beforeAutospacing="1" w:afterAutospacing="1"/>
        <w:jc w:val="both"/>
        <w:rPr>
          <w:rFonts w:ascii="Times New Roman" w:hAnsi="Times New Roman"/>
          <w:b/>
          <w:b/>
          <w:sz w:val="24"/>
          <w:szCs w:val="24"/>
          <w:lang w:eastAsia="ru-RU"/>
        </w:rPr>
      </w:pPr>
      <w:r>
        <w:rPr>
          <w:rFonts w:ascii="Times New Roman" w:hAnsi="Times New Roman"/>
          <w:sz w:val="24"/>
          <w:szCs w:val="24"/>
          <w:lang w:eastAsia="ru-RU"/>
        </w:rPr>
        <w:t xml:space="preserve">Контроль осуществляется в виде повседневного анализа и контроля правильности документального оформления фактов хозяйственной жизни, их регистрации в первичных учетных документах, ведения бухгалтерского учета. За проведение текущего контроля отвечают все сотрудники учреждения при формировании и регистрации первичных учетных документов и регистров бухгалтерского учета в соответствии с </w:t>
      </w:r>
      <w:r>
        <w:rPr>
          <w:rFonts w:ascii="Times New Roman" w:hAnsi="Times New Roman"/>
          <w:b/>
          <w:sz w:val="24"/>
          <w:szCs w:val="24"/>
          <w:lang w:eastAsia="ru-RU"/>
        </w:rPr>
        <w:t xml:space="preserve">Графиком документооборота (Приложение № 4 к настоящей Учетной политике). </w:t>
      </w:r>
    </w:p>
    <w:p>
      <w:pPr>
        <w:pStyle w:val="Normal"/>
        <w:spacing w:lineRule="auto" w:line="240" w:beforeAutospacing="1" w:afterAutospacing="1"/>
        <w:jc w:val="both"/>
        <w:rPr>
          <w:rFonts w:ascii="Times New Roman" w:hAnsi="Times New Roman"/>
          <w:b/>
          <w:b/>
          <w:sz w:val="24"/>
          <w:szCs w:val="24"/>
          <w:lang w:eastAsia="ru-RU"/>
        </w:rPr>
      </w:pPr>
      <w:r>
        <w:rPr>
          <w:rFonts w:ascii="Times New Roman" w:hAnsi="Times New Roman"/>
          <w:b/>
          <w:sz w:val="24"/>
          <w:szCs w:val="24"/>
          <w:lang w:eastAsia="ru-RU"/>
        </w:rPr>
        <w:t>Последующий контроль</w:t>
      </w:r>
    </w:p>
    <w:p>
      <w:pPr>
        <w:pStyle w:val="Normal"/>
        <w:spacing w:lineRule="auto" w:line="240" w:before="0" w:after="0"/>
        <w:rPr>
          <w:rFonts w:ascii="Times New Roman" w:hAnsi="Times New Roman"/>
          <w:sz w:val="24"/>
          <w:szCs w:val="24"/>
          <w:lang w:eastAsia="ru-RU"/>
        </w:rPr>
      </w:pPr>
      <w:r>
        <w:rPr>
          <w:rFonts w:ascii="Times New Roman" w:hAnsi="Times New Roman"/>
          <w:sz w:val="24"/>
          <w:szCs w:val="24"/>
          <w:lang w:eastAsia="ru-RU"/>
        </w:rPr>
        <w:t xml:space="preserve">Контроль проводится по итогам совершения хозяйственных операций. Осуществляется путем анализа и проверки бухгалтерской документации и отчетности, проведения инвентаризаций и иных необходимых процедур. </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Система последующего контроля состояния бухгалтерского учета включает в себя надзор и проверку Главным бухгалтером:</w:t>
      </w:r>
    </w:p>
    <w:p>
      <w:pPr>
        <w:pStyle w:val="ListParagraph"/>
        <w:numPr>
          <w:ilvl w:val="0"/>
          <w:numId w:val="29"/>
        </w:numPr>
        <w:spacing w:lineRule="auto" w:line="240" w:before="0" w:after="0"/>
        <w:ind w:left="714" w:hanging="357"/>
        <w:contextualSpacing/>
        <w:jc w:val="both"/>
        <w:rPr>
          <w:rFonts w:ascii="Times New Roman" w:hAnsi="Times New Roman"/>
          <w:sz w:val="24"/>
          <w:szCs w:val="24"/>
          <w:lang w:eastAsia="ru-RU"/>
        </w:rPr>
      </w:pPr>
      <w:r>
        <w:rPr>
          <w:rFonts w:ascii="Times New Roman" w:hAnsi="Times New Roman"/>
          <w:sz w:val="24"/>
          <w:szCs w:val="24"/>
          <w:lang w:eastAsia="ru-RU"/>
        </w:rPr>
        <w:t xml:space="preserve">соблюдения требований законодательства РФ, регулирующего порядок осуществления финансово-хозяйственной деятельности; </w:t>
      </w:r>
    </w:p>
    <w:p>
      <w:pPr>
        <w:pStyle w:val="ListParagraph"/>
        <w:numPr>
          <w:ilvl w:val="0"/>
          <w:numId w:val="29"/>
        </w:numPr>
        <w:spacing w:lineRule="auto" w:line="240" w:before="0" w:after="0"/>
        <w:contextualSpacing/>
        <w:jc w:val="both"/>
        <w:rPr>
          <w:rFonts w:ascii="Times New Roman" w:hAnsi="Times New Roman"/>
          <w:sz w:val="24"/>
          <w:szCs w:val="24"/>
          <w:lang w:eastAsia="ru-RU"/>
        </w:rPr>
      </w:pPr>
      <w:r>
        <w:rPr>
          <w:rFonts w:ascii="Times New Roman" w:hAnsi="Times New Roman"/>
          <w:sz w:val="24"/>
          <w:szCs w:val="24"/>
          <w:lang w:eastAsia="ru-RU"/>
        </w:rPr>
        <w:t>предотвращения возможных ошибок и искажений в учете и отчетности;</w:t>
      </w:r>
    </w:p>
    <w:p>
      <w:pPr>
        <w:pStyle w:val="ListParagraph"/>
        <w:numPr>
          <w:ilvl w:val="0"/>
          <w:numId w:val="29"/>
        </w:numPr>
        <w:spacing w:lineRule="auto" w:line="240" w:before="0" w:after="0"/>
        <w:contextualSpacing/>
        <w:jc w:val="both"/>
        <w:rPr>
          <w:rFonts w:ascii="Times New Roman" w:hAnsi="Times New Roman"/>
          <w:sz w:val="24"/>
          <w:szCs w:val="24"/>
          <w:lang w:eastAsia="ru-RU"/>
        </w:rPr>
      </w:pPr>
      <w:r>
        <w:rPr>
          <w:rFonts w:ascii="Times New Roman" w:hAnsi="Times New Roman"/>
          <w:sz w:val="24"/>
          <w:szCs w:val="24"/>
          <w:lang w:eastAsia="ru-RU"/>
        </w:rPr>
        <w:t xml:space="preserve">исполнения приказов и распоряжений руководства; </w:t>
      </w:r>
    </w:p>
    <w:p>
      <w:pPr>
        <w:pStyle w:val="ListParagraph"/>
        <w:numPr>
          <w:ilvl w:val="0"/>
          <w:numId w:val="29"/>
        </w:numPr>
        <w:spacing w:lineRule="auto" w:line="240" w:before="0" w:after="0"/>
        <w:contextualSpacing/>
        <w:jc w:val="both"/>
        <w:rPr>
          <w:rFonts w:ascii="Times New Roman" w:hAnsi="Times New Roman"/>
          <w:sz w:val="24"/>
          <w:szCs w:val="24"/>
          <w:lang w:eastAsia="ru-RU"/>
        </w:rPr>
      </w:pPr>
      <w:r>
        <w:rPr>
          <w:rFonts w:ascii="Times New Roman" w:hAnsi="Times New Roman"/>
          <w:sz w:val="24"/>
          <w:szCs w:val="24"/>
          <w:lang w:eastAsia="ru-RU"/>
        </w:rPr>
        <w:t>контроля за сохранностью финансовых и нефинансовых активов учреждения.</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2.2. Учреждением устанавливается следующий График контрольных мероприятий:</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r>
    </w:p>
    <w:tbl>
      <w:tblPr>
        <w:tblW w:w="10156" w:type="dxa"/>
        <w:jc w:val="center"/>
        <w:tblInd w:w="0" w:type="dxa"/>
        <w:tblLayout w:type="fixed"/>
        <w:tblCellMar>
          <w:top w:w="0" w:type="dxa"/>
          <w:left w:w="75" w:type="dxa"/>
          <w:bottom w:w="0" w:type="dxa"/>
          <w:right w:w="75" w:type="dxa"/>
        </w:tblCellMar>
        <w:tblLook w:val="0000"/>
      </w:tblPr>
      <w:tblGrid>
        <w:gridCol w:w="2784"/>
        <w:gridCol w:w="2410"/>
        <w:gridCol w:w="2836"/>
        <w:gridCol w:w="2125"/>
      </w:tblGrid>
      <w:tr>
        <w:trPr/>
        <w:tc>
          <w:tcPr>
            <w:tcW w:w="2784" w:type="dxa"/>
            <w:tcBorders>
              <w:top w:val="single" w:sz="4" w:space="0" w:color="000000"/>
              <w:left w:val="single" w:sz="4" w:space="0" w:color="000000"/>
              <w:bottom w:val="single" w:sz="4" w:space="0" w:color="000000"/>
              <w:right w:val="single" w:sz="4" w:space="0" w:color="000000"/>
            </w:tcBorders>
          </w:tcPr>
          <w:p>
            <w:pPr>
              <w:pStyle w:val="ConsPlusCell"/>
              <w:widowControl w:val="false"/>
              <w:spacing w:beforeAutospacing="1" w:after="0"/>
              <w:jc w:val="center"/>
              <w:rPr>
                <w:rFonts w:ascii="Times New Roman" w:hAnsi="Times New Roman" w:cs="Times New Roman"/>
                <w:b/>
                <w:b/>
              </w:rPr>
            </w:pPr>
            <w:r>
              <w:rPr>
                <w:rFonts w:cs="Times New Roman" w:ascii="Times New Roman" w:hAnsi="Times New Roman"/>
                <w:b/>
              </w:rPr>
              <w:t>Проводимое мероприятие контроля</w:t>
            </w:r>
          </w:p>
        </w:tc>
        <w:tc>
          <w:tcPr>
            <w:tcW w:w="2410" w:type="dxa"/>
            <w:tcBorders>
              <w:top w:val="single" w:sz="4" w:space="0" w:color="000000"/>
              <w:left w:val="single" w:sz="4" w:space="0" w:color="000000"/>
              <w:bottom w:val="single" w:sz="4" w:space="0" w:color="000000"/>
              <w:right w:val="single" w:sz="4" w:space="0" w:color="000000"/>
            </w:tcBorders>
          </w:tcPr>
          <w:p>
            <w:pPr>
              <w:pStyle w:val="ConsPlusCell"/>
              <w:widowControl w:val="false"/>
              <w:spacing w:beforeAutospacing="1" w:after="0"/>
              <w:jc w:val="center"/>
              <w:rPr>
                <w:rFonts w:ascii="Times New Roman" w:hAnsi="Times New Roman" w:cs="Times New Roman"/>
                <w:b/>
                <w:b/>
              </w:rPr>
            </w:pPr>
            <w:r>
              <w:rPr>
                <w:rFonts w:cs="Times New Roman" w:ascii="Times New Roman" w:hAnsi="Times New Roman"/>
                <w:b/>
              </w:rPr>
              <w:t>Периодичность проведения</w:t>
            </w:r>
          </w:p>
        </w:tc>
        <w:tc>
          <w:tcPr>
            <w:tcW w:w="2836" w:type="dxa"/>
            <w:tcBorders>
              <w:top w:val="single" w:sz="4" w:space="0" w:color="000000"/>
              <w:left w:val="single" w:sz="4" w:space="0" w:color="000000"/>
              <w:bottom w:val="single" w:sz="4" w:space="0" w:color="000000"/>
              <w:right w:val="single" w:sz="4" w:space="0" w:color="000000"/>
            </w:tcBorders>
          </w:tcPr>
          <w:p>
            <w:pPr>
              <w:pStyle w:val="ConsPlusCell"/>
              <w:widowControl w:val="false"/>
              <w:spacing w:beforeAutospacing="1" w:after="0"/>
              <w:jc w:val="center"/>
              <w:rPr>
                <w:rFonts w:ascii="Times New Roman" w:hAnsi="Times New Roman" w:cs="Times New Roman"/>
                <w:b/>
                <w:b/>
              </w:rPr>
            </w:pPr>
            <w:r>
              <w:rPr>
                <w:rFonts w:cs="Times New Roman" w:ascii="Times New Roman" w:hAnsi="Times New Roman"/>
                <w:b/>
              </w:rPr>
              <w:t>Ответственные лица</w:t>
            </w:r>
          </w:p>
        </w:tc>
        <w:tc>
          <w:tcPr>
            <w:tcW w:w="2125" w:type="dxa"/>
            <w:tcBorders>
              <w:top w:val="single" w:sz="4" w:space="0" w:color="000000"/>
              <w:left w:val="single" w:sz="4" w:space="0" w:color="000000"/>
              <w:bottom w:val="single" w:sz="4" w:space="0" w:color="000000"/>
              <w:right w:val="single" w:sz="4" w:space="0" w:color="000000"/>
            </w:tcBorders>
          </w:tcPr>
          <w:p>
            <w:pPr>
              <w:pStyle w:val="ConsPlusCell"/>
              <w:widowControl w:val="false"/>
              <w:spacing w:beforeAutospacing="1" w:after="0"/>
              <w:jc w:val="center"/>
              <w:rPr>
                <w:rFonts w:ascii="Times New Roman" w:hAnsi="Times New Roman" w:cs="Times New Roman"/>
                <w:b/>
                <w:b/>
              </w:rPr>
            </w:pPr>
            <w:r>
              <w:rPr>
                <w:rFonts w:cs="Times New Roman" w:ascii="Times New Roman" w:hAnsi="Times New Roman"/>
                <w:b/>
              </w:rPr>
              <w:t>Документ, оформляющий результат</w:t>
            </w:r>
          </w:p>
        </w:tc>
      </w:tr>
      <w:tr>
        <w:trPr>
          <w:trHeight w:val="400" w:hRule="atLeast"/>
        </w:trPr>
        <w:tc>
          <w:tcPr>
            <w:tcW w:w="2784" w:type="dxa"/>
            <w:tcBorders>
              <w:left w:val="single" w:sz="4" w:space="0" w:color="000000"/>
              <w:bottom w:val="single" w:sz="4" w:space="0" w:color="000000"/>
              <w:right w:val="single" w:sz="4" w:space="0" w:color="000000"/>
            </w:tcBorders>
          </w:tcPr>
          <w:p>
            <w:pPr>
              <w:pStyle w:val="ConsPlusCell"/>
              <w:widowControl w:val="false"/>
              <w:spacing w:beforeAutospacing="1" w:after="0"/>
              <w:rPr>
                <w:rFonts w:ascii="Times New Roman" w:hAnsi="Times New Roman" w:cs="Times New Roman"/>
              </w:rPr>
            </w:pPr>
            <w:r>
              <w:rPr>
                <w:rFonts w:cs="Times New Roman" w:ascii="Times New Roman" w:hAnsi="Times New Roman"/>
              </w:rPr>
              <w:t xml:space="preserve">Проверка расчетов с поставщиками        </w:t>
              <w:br/>
              <w:t>и подрядчиками, заказчиками</w:t>
            </w:r>
          </w:p>
        </w:tc>
        <w:tc>
          <w:tcPr>
            <w:tcW w:w="2410" w:type="dxa"/>
            <w:tcBorders>
              <w:left w:val="single" w:sz="4" w:space="0" w:color="000000"/>
              <w:bottom w:val="single" w:sz="4" w:space="0" w:color="000000"/>
              <w:right w:val="single" w:sz="4" w:space="0" w:color="000000"/>
            </w:tcBorders>
          </w:tcPr>
          <w:p>
            <w:pPr>
              <w:pStyle w:val="ConsPlusCell"/>
              <w:widowControl w:val="false"/>
              <w:spacing w:beforeAutospacing="1" w:after="0"/>
              <w:jc w:val="center"/>
              <w:rPr>
                <w:rFonts w:ascii="Times New Roman" w:hAnsi="Times New Roman" w:cs="Times New Roman"/>
              </w:rPr>
            </w:pPr>
            <w:r>
              <w:rPr>
                <w:rFonts w:cs="Times New Roman" w:ascii="Times New Roman" w:hAnsi="Times New Roman"/>
              </w:rPr>
              <w:t>Один раз в квартал</w:t>
            </w:r>
          </w:p>
        </w:tc>
        <w:tc>
          <w:tcPr>
            <w:tcW w:w="2836" w:type="dxa"/>
            <w:tcBorders>
              <w:left w:val="single" w:sz="4" w:space="0" w:color="000000"/>
              <w:bottom w:val="single" w:sz="4" w:space="0" w:color="000000"/>
              <w:right w:val="single" w:sz="4" w:space="0" w:color="000000"/>
            </w:tcBorders>
          </w:tcPr>
          <w:p>
            <w:pPr>
              <w:pStyle w:val="ConsPlusCell"/>
              <w:widowControl w:val="false"/>
              <w:spacing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Главный бухгалтер</w:t>
            </w:r>
          </w:p>
        </w:tc>
        <w:tc>
          <w:tcPr>
            <w:tcW w:w="2125" w:type="dxa"/>
            <w:tcBorders>
              <w:left w:val="single" w:sz="4" w:space="0" w:color="000000"/>
              <w:bottom w:val="single" w:sz="4" w:space="0" w:color="000000"/>
              <w:right w:val="single" w:sz="4" w:space="0" w:color="000000"/>
            </w:tcBorders>
          </w:tcPr>
          <w:p>
            <w:pPr>
              <w:pStyle w:val="ConsPlusCell"/>
              <w:widowControl w:val="false"/>
              <w:spacing w:beforeAutospacing="1" w:after="0"/>
              <w:jc w:val="center"/>
              <w:rPr>
                <w:rFonts w:ascii="Times New Roman" w:hAnsi="Times New Roman" w:cs="Times New Roman"/>
              </w:rPr>
            </w:pPr>
            <w:r>
              <w:rPr>
                <w:rFonts w:cs="Times New Roman" w:ascii="Times New Roman" w:hAnsi="Times New Roman"/>
              </w:rPr>
              <w:t>Акт  проверки</w:t>
            </w:r>
          </w:p>
        </w:tc>
      </w:tr>
      <w:tr>
        <w:trPr>
          <w:trHeight w:val="400" w:hRule="atLeast"/>
        </w:trPr>
        <w:tc>
          <w:tcPr>
            <w:tcW w:w="2784" w:type="dxa"/>
            <w:tcBorders>
              <w:left w:val="single" w:sz="4" w:space="0" w:color="000000"/>
              <w:bottom w:val="single" w:sz="4" w:space="0" w:color="000000"/>
              <w:right w:val="single" w:sz="4" w:space="0" w:color="000000"/>
            </w:tcBorders>
          </w:tcPr>
          <w:p>
            <w:pPr>
              <w:pStyle w:val="ConsPlusCell"/>
              <w:widowControl w:val="false"/>
              <w:spacing w:beforeAutospacing="1" w:after="0"/>
              <w:rPr>
                <w:rFonts w:ascii="Times New Roman" w:hAnsi="Times New Roman" w:cs="Times New Roman"/>
              </w:rPr>
            </w:pPr>
            <w:r>
              <w:rPr>
                <w:rFonts w:cs="Times New Roman" w:ascii="Times New Roman" w:hAnsi="Times New Roman"/>
              </w:rPr>
              <w:t xml:space="preserve">Проверка </w:t>
            </w:r>
            <w:r>
              <w:rPr>
                <w:rFonts w:eastAsia="Times New Roman" w:cs="Times New Roman" w:ascii="Times New Roman" w:hAnsi="Times New Roman"/>
                <w:sz w:val="24"/>
                <w:szCs w:val="24"/>
              </w:rPr>
              <w:t>расчетов с сотрудниками</w:t>
            </w:r>
          </w:p>
        </w:tc>
        <w:tc>
          <w:tcPr>
            <w:tcW w:w="2410" w:type="dxa"/>
            <w:tcBorders>
              <w:left w:val="single" w:sz="4" w:space="0" w:color="000000"/>
              <w:bottom w:val="single" w:sz="4" w:space="0" w:color="000000"/>
              <w:right w:val="single" w:sz="4" w:space="0" w:color="000000"/>
            </w:tcBorders>
          </w:tcPr>
          <w:p>
            <w:pPr>
              <w:pStyle w:val="ConsPlusCell"/>
              <w:widowControl w:val="false"/>
              <w:spacing w:beforeAutospacing="1" w:after="0"/>
              <w:jc w:val="center"/>
              <w:rPr>
                <w:rFonts w:ascii="Times New Roman" w:hAnsi="Times New Roman" w:cs="Times New Roman"/>
              </w:rPr>
            </w:pPr>
            <w:r>
              <w:rPr>
                <w:rFonts w:cs="Times New Roman" w:ascii="Times New Roman" w:hAnsi="Times New Roman"/>
              </w:rPr>
              <w:t>Один раз в квартал</w:t>
            </w:r>
          </w:p>
        </w:tc>
        <w:tc>
          <w:tcPr>
            <w:tcW w:w="2836" w:type="dxa"/>
            <w:tcBorders>
              <w:left w:val="single" w:sz="4" w:space="0" w:color="000000"/>
              <w:bottom w:val="single" w:sz="4" w:space="0" w:color="000000"/>
              <w:right w:val="single" w:sz="4" w:space="0" w:color="000000"/>
            </w:tcBorders>
          </w:tcPr>
          <w:p>
            <w:pPr>
              <w:pStyle w:val="ConsPlusCell"/>
              <w:widowControl w:val="false"/>
              <w:spacing w:beforeAutospacing="1" w:after="0"/>
              <w:jc w:val="center"/>
              <w:rPr>
                <w:rFonts w:ascii="Times New Roman" w:hAnsi="Times New Roman" w:cs="Times New Roman"/>
              </w:rPr>
            </w:pPr>
            <w:r>
              <w:rPr>
                <w:rFonts w:eastAsia="Times New Roman" w:cs="Times New Roman" w:ascii="Times New Roman" w:hAnsi="Times New Roman"/>
                <w:sz w:val="24"/>
                <w:szCs w:val="24"/>
              </w:rPr>
              <w:t>Главный бухгалтер</w:t>
            </w:r>
          </w:p>
        </w:tc>
        <w:tc>
          <w:tcPr>
            <w:tcW w:w="2125" w:type="dxa"/>
            <w:tcBorders>
              <w:left w:val="single" w:sz="4" w:space="0" w:color="000000"/>
              <w:bottom w:val="single" w:sz="4" w:space="0" w:color="000000"/>
              <w:right w:val="single" w:sz="4" w:space="0" w:color="000000"/>
            </w:tcBorders>
          </w:tcPr>
          <w:p>
            <w:pPr>
              <w:pStyle w:val="ConsPlusCell"/>
              <w:widowControl w:val="false"/>
              <w:spacing w:beforeAutospacing="1" w:after="0"/>
              <w:jc w:val="center"/>
              <w:rPr>
                <w:rFonts w:ascii="Times New Roman" w:hAnsi="Times New Roman" w:cs="Times New Roman"/>
              </w:rPr>
            </w:pPr>
            <w:r>
              <w:rPr>
                <w:rFonts w:cs="Times New Roman" w:ascii="Times New Roman" w:hAnsi="Times New Roman"/>
              </w:rPr>
              <w:t>Акт  проверки</w:t>
            </w:r>
          </w:p>
        </w:tc>
      </w:tr>
      <w:tr>
        <w:trPr/>
        <w:tc>
          <w:tcPr>
            <w:tcW w:w="2784" w:type="dxa"/>
            <w:tcBorders>
              <w:left w:val="single" w:sz="4" w:space="0" w:color="000000"/>
              <w:bottom w:val="single" w:sz="4" w:space="0" w:color="000000"/>
              <w:right w:val="single" w:sz="4" w:space="0" w:color="000000"/>
            </w:tcBorders>
          </w:tcPr>
          <w:p>
            <w:pPr>
              <w:pStyle w:val="ConsPlusCell"/>
              <w:widowControl w:val="false"/>
              <w:spacing w:beforeAutospacing="1" w:after="0"/>
              <w:rPr>
                <w:rFonts w:ascii="Times New Roman" w:hAnsi="Times New Roman" w:cs="Times New Roman"/>
              </w:rPr>
            </w:pPr>
            <w:r>
              <w:rPr>
                <w:rFonts w:cs="Times New Roman" w:ascii="Times New Roman" w:hAnsi="Times New Roman"/>
              </w:rPr>
              <w:t>Инвентаризация имущества и обязательств учреждения</w:t>
            </w:r>
          </w:p>
        </w:tc>
        <w:tc>
          <w:tcPr>
            <w:tcW w:w="2410" w:type="dxa"/>
            <w:tcBorders>
              <w:left w:val="single" w:sz="4" w:space="0" w:color="000000"/>
              <w:bottom w:val="single" w:sz="4" w:space="0" w:color="000000"/>
              <w:right w:val="single" w:sz="4" w:space="0" w:color="000000"/>
            </w:tcBorders>
          </w:tcPr>
          <w:p>
            <w:pPr>
              <w:pStyle w:val="ConsPlusCell"/>
              <w:widowControl w:val="false"/>
              <w:spacing w:beforeAutospacing="1" w:after="0"/>
              <w:jc w:val="center"/>
              <w:rPr>
                <w:rFonts w:ascii="Times New Roman" w:hAnsi="Times New Roman" w:cs="Times New Roman"/>
              </w:rPr>
            </w:pPr>
            <w:r>
              <w:rPr>
                <w:rFonts w:cs="Times New Roman" w:ascii="Times New Roman" w:hAnsi="Times New Roman"/>
              </w:rPr>
              <w:t>Ежегодно, перед составлением годовой отчетности</w:t>
            </w:r>
          </w:p>
        </w:tc>
        <w:tc>
          <w:tcPr>
            <w:tcW w:w="2836" w:type="dxa"/>
            <w:tcBorders>
              <w:left w:val="single" w:sz="4" w:space="0" w:color="000000"/>
              <w:bottom w:val="single" w:sz="4" w:space="0" w:color="000000"/>
              <w:right w:val="single" w:sz="4" w:space="0" w:color="000000"/>
            </w:tcBorders>
          </w:tcPr>
          <w:p>
            <w:pPr>
              <w:pStyle w:val="ConsPlusCell"/>
              <w:widowControl w:val="false"/>
              <w:spacing w:beforeAutospacing="1" w:after="0"/>
              <w:jc w:val="center"/>
              <w:rPr>
                <w:rFonts w:ascii="Times New Roman" w:hAnsi="Times New Roman" w:cs="Times New Roman"/>
              </w:rPr>
            </w:pPr>
            <w:r>
              <w:rPr>
                <w:rFonts w:eastAsia="Times New Roman" w:cs="Times New Roman" w:ascii="Times New Roman" w:hAnsi="Times New Roman"/>
                <w:sz w:val="24"/>
                <w:szCs w:val="24"/>
              </w:rPr>
              <w:t>Бухгалтер, главный бухгалтер</w:t>
            </w:r>
          </w:p>
        </w:tc>
        <w:tc>
          <w:tcPr>
            <w:tcW w:w="2125" w:type="dxa"/>
            <w:tcBorders>
              <w:left w:val="single" w:sz="4" w:space="0" w:color="000000"/>
              <w:bottom w:val="single" w:sz="4" w:space="0" w:color="000000"/>
              <w:right w:val="single" w:sz="4" w:space="0" w:color="000000"/>
            </w:tcBorders>
          </w:tcPr>
          <w:p>
            <w:pPr>
              <w:pStyle w:val="ConsPlusCell"/>
              <w:widowControl w:val="false"/>
              <w:spacing w:beforeAutospacing="1" w:after="0"/>
              <w:jc w:val="center"/>
              <w:rPr>
                <w:rFonts w:ascii="Times New Roman" w:hAnsi="Times New Roman" w:cs="Times New Roman"/>
              </w:rPr>
            </w:pPr>
            <w:r>
              <w:rPr>
                <w:rFonts w:cs="Times New Roman" w:ascii="Times New Roman" w:hAnsi="Times New Roman"/>
              </w:rPr>
              <w:t>Акт о результатах инвентаризации (ф. 0504835)</w:t>
            </w:r>
          </w:p>
        </w:tc>
      </w:tr>
    </w:tbl>
    <w:p>
      <w:pPr>
        <w:pStyle w:val="Normal"/>
        <w:widowControl w:val="false"/>
        <w:spacing w:lineRule="auto" w:line="240" w:before="0" w:after="0"/>
        <w:jc w:val="both"/>
        <w:rPr>
          <w:rFonts w:ascii="Times New Roman" w:hAnsi="Times New Roman"/>
          <w:sz w:val="24"/>
          <w:szCs w:val="24"/>
          <w:lang w:eastAsia="ru-RU"/>
        </w:rPr>
      </w:pPr>
      <w:hyperlink r:id="rId9">
        <w:r>
          <w:rPr>
            <w:rFonts w:ascii="Times New Roman" w:hAnsi="Times New Roman"/>
            <w:i/>
            <w:iCs/>
            <w:sz w:val="24"/>
            <w:szCs w:val="24"/>
          </w:rPr>
          <w:br/>
        </w:r>
      </w:hyperlink>
    </w:p>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r>
    </w:p>
    <w:p>
      <w:pPr>
        <w:pStyle w:val="Normal"/>
        <w:widowControl w:val="false"/>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xml:space="preserve">2.3. Последующий контроль осуществляется путем проведения как плановых, так и внеплановых проверок. Плановые проверки проводятся с периодичностью, определенной Графиком проверок (п. 2.2 настоящего Положения). </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Основными объектами плановой проверки являются: соблюдение законодательства РФ, регулирующего порядок ведения бухгалтерского учета и норм учетной политики, полнота и правильность документального оформления операций.</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xml:space="preserve">В ходе проведения внеплановой проверки осуществляется контроль по вопросам, в отношении которых есть информация о возможных нарушениях. Внеплановые проверки проводятся по решению главного бухгалтера или по Приказу руководителя учреждения. </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xml:space="preserve">2.4. Лица, ответственные за проведение контрольного мероприятия, осуществляют анализ выявленных нарушений, определяют их причины и разрабатывают предложения для принятия мер по их устранению и недопущению в дальнейшем. </w:t>
      </w:r>
    </w:p>
    <w:p>
      <w:pPr>
        <w:pStyle w:val="Normal"/>
        <w:spacing w:lineRule="auto" w:line="240" w:beforeAutospacing="1" w:afterAutospacing="1"/>
        <w:jc w:val="both"/>
        <w:rPr>
          <w:rFonts w:ascii="Times New Roman" w:hAnsi="Times New Roman"/>
          <w:b/>
          <w:b/>
          <w:sz w:val="24"/>
          <w:szCs w:val="24"/>
          <w:lang w:eastAsia="ru-RU"/>
        </w:rPr>
      </w:pPr>
      <w:r>
        <w:rPr>
          <w:rFonts w:ascii="Times New Roman" w:hAnsi="Times New Roman"/>
          <w:b/>
          <w:sz w:val="24"/>
          <w:szCs w:val="24"/>
          <w:lang w:eastAsia="ru-RU"/>
        </w:rPr>
        <w:t xml:space="preserve">3. Субъекты внутреннего контроля </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xml:space="preserve">3.1. К субъектам внутреннего контроля относятся: </w:t>
      </w:r>
    </w:p>
    <w:p>
      <w:pPr>
        <w:pStyle w:val="ListParagraph"/>
        <w:numPr>
          <w:ilvl w:val="0"/>
          <w:numId w:val="30"/>
        </w:numPr>
        <w:spacing w:lineRule="auto" w:line="240" w:before="0" w:after="0"/>
        <w:contextualSpacing/>
        <w:jc w:val="both"/>
        <w:rPr>
          <w:rFonts w:ascii="Times New Roman" w:hAnsi="Times New Roman"/>
          <w:sz w:val="24"/>
          <w:szCs w:val="24"/>
          <w:lang w:eastAsia="ru-RU"/>
        </w:rPr>
      </w:pPr>
      <w:r>
        <w:rPr>
          <w:rFonts w:ascii="Times New Roman" w:hAnsi="Times New Roman"/>
          <w:sz w:val="24"/>
          <w:szCs w:val="24"/>
          <w:lang w:eastAsia="ru-RU"/>
        </w:rPr>
        <w:t xml:space="preserve">руководитель учреждения и его заместители; </w:t>
      </w:r>
    </w:p>
    <w:p>
      <w:pPr>
        <w:pStyle w:val="ListParagraph"/>
        <w:numPr>
          <w:ilvl w:val="0"/>
          <w:numId w:val="30"/>
        </w:numPr>
        <w:spacing w:lineRule="auto" w:line="240" w:before="0" w:after="0"/>
        <w:contextualSpacing/>
        <w:jc w:val="both"/>
        <w:rPr>
          <w:rFonts w:ascii="Times New Roman" w:hAnsi="Times New Roman"/>
          <w:sz w:val="24"/>
          <w:szCs w:val="24"/>
          <w:lang w:eastAsia="ru-RU"/>
        </w:rPr>
      </w:pPr>
      <w:r>
        <w:rPr>
          <w:rFonts w:ascii="Times New Roman" w:hAnsi="Times New Roman"/>
          <w:sz w:val="24"/>
          <w:szCs w:val="24"/>
          <w:lang w:eastAsia="ru-RU"/>
        </w:rPr>
        <w:t xml:space="preserve">главный бухгалтер; </w:t>
      </w:r>
    </w:p>
    <w:p>
      <w:pPr>
        <w:pStyle w:val="ListParagraph"/>
        <w:numPr>
          <w:ilvl w:val="0"/>
          <w:numId w:val="30"/>
        </w:numPr>
        <w:spacing w:lineRule="auto" w:line="240" w:before="0" w:after="0"/>
        <w:contextualSpacing/>
        <w:jc w:val="both"/>
        <w:rPr>
          <w:rFonts w:ascii="Times New Roman" w:hAnsi="Times New Roman"/>
          <w:sz w:val="24"/>
          <w:szCs w:val="24"/>
          <w:lang w:eastAsia="ru-RU"/>
        </w:rPr>
      </w:pPr>
      <w:r>
        <w:rPr>
          <w:rFonts w:ascii="Times New Roman" w:hAnsi="Times New Roman"/>
          <w:sz w:val="24"/>
          <w:szCs w:val="24"/>
          <w:lang w:eastAsia="ru-RU"/>
        </w:rPr>
        <w:t xml:space="preserve">работники учреждения, составляющие и регистрирующие первичные документы, поименованные в Графике документооборота. </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xml:space="preserve">3.2. Разграничение полномочий и ответственности, задействованных в функционировании системы внутреннего контроля, определяется Графиком документооборота, а также организационно-распорядительными документами учреждения и должностными инструкциями работников. </w:t>
      </w:r>
    </w:p>
    <w:p>
      <w:pPr>
        <w:pStyle w:val="Normal"/>
        <w:tabs>
          <w:tab w:val="clear" w:pos="708"/>
          <w:tab w:val="left" w:pos="3104" w:leader="none"/>
        </w:tabs>
        <w:spacing w:lineRule="auto" w:line="240" w:beforeAutospacing="1" w:afterAutospacing="1"/>
        <w:jc w:val="both"/>
        <w:rPr>
          <w:rFonts w:ascii="Times New Roman" w:hAnsi="Times New Roman"/>
          <w:sz w:val="24"/>
          <w:szCs w:val="24"/>
          <w:lang w:eastAsia="ru-RU"/>
        </w:rPr>
      </w:pPr>
      <w:r>
        <w:rPr>
          <w:rFonts w:ascii="Times New Roman" w:hAnsi="Times New Roman"/>
          <w:b/>
          <w:bCs/>
          <w:sz w:val="24"/>
          <w:szCs w:val="24"/>
          <w:lang w:eastAsia="ru-RU"/>
        </w:rPr>
        <w:t xml:space="preserve">4. Ответственность </w:t>
        <w:tab/>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4.1. Ответственность за организацию и функционирование системы внутреннего контроля возлагается на главного бухгалтера.</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xml:space="preserve">4.2. Лица, допустившие недостатки, искажения и нарушения, несут дисциплинарную ответственность в соответствии с требованиями </w:t>
      </w:r>
      <w:hyperlink r:id="rId10">
        <w:r>
          <w:rPr>
            <w:rFonts w:ascii="Times New Roman" w:hAnsi="Times New Roman"/>
            <w:sz w:val="24"/>
            <w:szCs w:val="24"/>
            <w:lang w:eastAsia="ru-RU"/>
          </w:rPr>
          <w:t>ТК РФ</w:t>
        </w:r>
      </w:hyperlink>
      <w:r>
        <w:rPr>
          <w:rFonts w:ascii="Times New Roman" w:hAnsi="Times New Roman"/>
          <w:sz w:val="24"/>
          <w:szCs w:val="24"/>
          <w:lang w:eastAsia="ru-RU"/>
        </w:rPr>
        <w:t xml:space="preserve">. </w:t>
      </w:r>
    </w:p>
    <w:p>
      <w:pPr>
        <w:pStyle w:val="Normal"/>
        <w:spacing w:lineRule="auto" w:line="240" w:beforeAutospacing="1" w:afterAutospacing="1"/>
        <w:jc w:val="both"/>
        <w:rPr>
          <w:rFonts w:ascii="Times New Roman" w:hAnsi="Times New Roman"/>
          <w:sz w:val="24"/>
          <w:szCs w:val="24"/>
          <w:lang w:eastAsia="ru-RU"/>
        </w:rPr>
      </w:pPr>
      <w:r>
        <w:rPr>
          <w:rFonts w:ascii="Times New Roman" w:hAnsi="Times New Roman"/>
          <w:b/>
          <w:bCs/>
          <w:sz w:val="24"/>
          <w:szCs w:val="24"/>
          <w:lang w:eastAsia="ru-RU"/>
        </w:rPr>
        <w:t xml:space="preserve">5. Оценка состояния системы внутреннего контроля </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xml:space="preserve">5.1. Оценка эффективности системы внутреннего контроля в учреждении осуществляется субъектами внутреннего контроля и рассматривается на совещаниях, проводимых руководителем учреждения. </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r>
    </w:p>
    <w:p>
      <w:pPr>
        <w:pStyle w:val="Normal"/>
        <w:spacing w:lineRule="auto" w:line="240" w:beforeAutospacing="1" w:afterAutospacing="1"/>
        <w:jc w:val="both"/>
        <w:rPr>
          <w:rFonts w:ascii="Times New Roman" w:hAnsi="Times New Roman"/>
          <w:sz w:val="24"/>
          <w:szCs w:val="24"/>
          <w:lang w:eastAsia="ru-RU"/>
        </w:rPr>
      </w:pPr>
      <w:r>
        <w:rPr>
          <w:rFonts w:ascii="Times New Roman" w:hAnsi="Times New Roman"/>
          <w:b/>
          <w:bCs/>
          <w:sz w:val="24"/>
          <w:szCs w:val="24"/>
          <w:lang w:eastAsia="ru-RU"/>
        </w:rPr>
        <w:t xml:space="preserve">6. Заключительные положения </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xml:space="preserve">6.1. Все изменения и дополнения к настоящему положению утверждаются руководителем учреждения. </w:t>
      </w:r>
    </w:p>
    <w:p>
      <w:pPr>
        <w:pStyle w:val="Normal"/>
        <w:spacing w:lineRule="auto" w:line="240" w:before="0" w:after="0"/>
        <w:jc w:val="both"/>
        <w:rPr>
          <w:rFonts w:ascii="Times New Roman" w:hAnsi="Times New Roman"/>
          <w:sz w:val="24"/>
          <w:szCs w:val="24"/>
          <w:lang w:eastAsia="ru-RU"/>
        </w:rPr>
      </w:pPr>
      <w:r>
        <w:rPr>
          <w:rFonts w:ascii="Times New Roman" w:hAnsi="Times New Roman"/>
          <w:sz w:val="24"/>
          <w:szCs w:val="24"/>
          <w:lang w:eastAsia="ru-RU"/>
        </w:rPr>
        <w:t xml:space="preserve">6.2. Если в результате изменения действующего законодательства РФ отдельные статьи настоящего положения вступят с ним в противоречие, они утрачивают силу, преимущественную силу имеют положения действующего законодательства РФ. </w:t>
      </w:r>
    </w:p>
    <w:p>
      <w:pPr>
        <w:pStyle w:val="1"/>
        <w:spacing w:beforeAutospacing="1" w:afterAutospacing="1"/>
        <w:jc w:val="right"/>
        <w:rPr>
          <w:rFonts w:ascii="Times New Roman" w:hAnsi="Times New Roman"/>
          <w:b w:val="false"/>
          <w:b w:val="false"/>
          <w:sz w:val="24"/>
          <w:szCs w:val="24"/>
        </w:rPr>
      </w:pPr>
      <w:r>
        <w:rPr>
          <w:rFonts w:ascii="Times New Roman" w:hAnsi="Times New Roman"/>
          <w:b w:val="false"/>
          <w:sz w:val="24"/>
          <w:szCs w:val="24"/>
        </w:rPr>
      </w:r>
    </w:p>
    <w:p>
      <w:pPr>
        <w:pStyle w:val="Normal"/>
        <w:rPr>
          <w:lang w:eastAsia="ru-RU"/>
        </w:rPr>
      </w:pPr>
      <w:r>
        <w:rPr>
          <w:lang w:eastAsia="ru-RU"/>
        </w:rPr>
      </w:r>
    </w:p>
    <w:p>
      <w:pPr>
        <w:pStyle w:val="Normal"/>
        <w:rPr>
          <w:lang w:eastAsia="ru-RU"/>
        </w:rPr>
      </w:pPr>
      <w:r>
        <w:rPr>
          <w:lang w:eastAsia="ru-RU"/>
        </w:rPr>
      </w:r>
    </w:p>
    <w:p>
      <w:pPr>
        <w:pStyle w:val="Normal"/>
        <w:rPr>
          <w:lang w:eastAsia="ru-RU"/>
        </w:rPr>
      </w:pPr>
      <w:r>
        <w:rPr>
          <w:lang w:eastAsia="ru-RU"/>
        </w:rPr>
      </w:r>
    </w:p>
    <w:p>
      <w:pPr>
        <w:pStyle w:val="Normal"/>
        <w:rPr>
          <w:lang w:eastAsia="ru-RU"/>
        </w:rPr>
      </w:pPr>
      <w:r>
        <w:rPr>
          <w:lang w:eastAsia="ru-RU"/>
        </w:rPr>
      </w:r>
    </w:p>
    <w:p>
      <w:pPr>
        <w:pStyle w:val="1"/>
        <w:spacing w:before="0" w:after="0"/>
        <w:ind w:firstLine="709"/>
        <w:jc w:val="right"/>
        <w:rPr>
          <w:rFonts w:ascii="Times New Roman" w:hAnsi="Times New Roman"/>
          <w:b w:val="false"/>
          <w:b w:val="false"/>
          <w:sz w:val="24"/>
          <w:szCs w:val="24"/>
        </w:rPr>
      </w:pPr>
      <w:r>
        <w:rPr>
          <w:rFonts w:ascii="Times New Roman" w:hAnsi="Times New Roman"/>
          <w:b w:val="false"/>
          <w:sz w:val="24"/>
          <w:szCs w:val="24"/>
        </w:rPr>
      </w:r>
    </w:p>
    <w:p>
      <w:pPr>
        <w:pStyle w:val="1"/>
        <w:spacing w:before="0" w:after="0"/>
        <w:ind w:firstLine="709"/>
        <w:jc w:val="right"/>
        <w:rPr>
          <w:rFonts w:ascii="Times New Roman" w:hAnsi="Times New Roman"/>
          <w:b w:val="false"/>
          <w:b w:val="false"/>
          <w:sz w:val="24"/>
          <w:szCs w:val="24"/>
        </w:rPr>
      </w:pPr>
      <w:r>
        <w:rPr>
          <w:rFonts w:ascii="Times New Roman" w:hAnsi="Times New Roman"/>
          <w:b w:val="false"/>
          <w:sz w:val="24"/>
          <w:szCs w:val="24"/>
        </w:rPr>
        <w:t>Приложение № 6</w:t>
      </w:r>
    </w:p>
    <w:p>
      <w:pPr>
        <w:pStyle w:val="Normal"/>
        <w:spacing w:lineRule="auto" w:line="240" w:before="0" w:after="0"/>
        <w:ind w:firstLine="709"/>
        <w:jc w:val="right"/>
        <w:rPr>
          <w:rFonts w:ascii="Times New Roman" w:hAnsi="Times New Roman"/>
          <w:sz w:val="24"/>
          <w:szCs w:val="24"/>
        </w:rPr>
      </w:pPr>
      <w:r>
        <w:rPr>
          <w:rFonts w:ascii="Times New Roman" w:hAnsi="Times New Roman"/>
          <w:sz w:val="24"/>
          <w:szCs w:val="24"/>
        </w:rPr>
        <w:t>к Учетной политике от 11.01.2021г.</w:t>
      </w:r>
    </w:p>
    <w:p>
      <w:pPr>
        <w:pStyle w:val="1"/>
        <w:spacing w:before="0" w:after="0"/>
        <w:ind w:firstLine="709"/>
        <w:rPr>
          <w:rFonts w:ascii="Times New Roman" w:hAnsi="Times New Roman"/>
          <w:sz w:val="24"/>
          <w:szCs w:val="24"/>
        </w:rPr>
      </w:pPr>
      <w:r>
        <w:rPr>
          <w:rFonts w:ascii="Times New Roman" w:hAnsi="Times New Roman"/>
          <w:sz w:val="24"/>
          <w:szCs w:val="24"/>
        </w:rPr>
      </w:r>
    </w:p>
    <w:p>
      <w:pPr>
        <w:pStyle w:val="1"/>
        <w:spacing w:before="0" w:after="0"/>
        <w:ind w:firstLine="709"/>
        <w:rPr>
          <w:rFonts w:ascii="Times New Roman" w:hAnsi="Times New Roman"/>
          <w:sz w:val="24"/>
          <w:szCs w:val="24"/>
        </w:rPr>
      </w:pPr>
      <w:r>
        <w:rPr>
          <w:rFonts w:ascii="Times New Roman" w:hAnsi="Times New Roman"/>
          <w:sz w:val="24"/>
          <w:szCs w:val="24"/>
        </w:rPr>
        <w:t xml:space="preserve">Положение </w:t>
      </w:r>
    </w:p>
    <w:p>
      <w:pPr>
        <w:pStyle w:val="1"/>
        <w:spacing w:before="0" w:after="0"/>
        <w:ind w:firstLine="709"/>
        <w:rPr>
          <w:rFonts w:ascii="Times New Roman" w:hAnsi="Times New Roman"/>
          <w:sz w:val="24"/>
          <w:szCs w:val="24"/>
        </w:rPr>
      </w:pPr>
      <w:r>
        <w:rPr>
          <w:rFonts w:ascii="Times New Roman" w:hAnsi="Times New Roman"/>
          <w:sz w:val="24"/>
          <w:szCs w:val="24"/>
        </w:rPr>
        <w:t>о Комиссии по поступлению и выбытию активов</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r>
    </w:p>
    <w:p>
      <w:pPr>
        <w:pStyle w:val="23"/>
        <w:spacing w:lineRule="auto" w:line="240"/>
        <w:ind w:firstLine="709"/>
        <w:rPr>
          <w:rFonts w:ascii="Times New Roman" w:hAnsi="Times New Roman"/>
          <w:szCs w:val="24"/>
        </w:rPr>
      </w:pPr>
      <w:r>
        <w:rPr>
          <w:rFonts w:ascii="Times New Roman" w:hAnsi="Times New Roman"/>
          <w:szCs w:val="24"/>
        </w:rPr>
        <w:t xml:space="preserve">1. На основании требований Приказа Минфина России № 157н от 01.12.2010г. в учреждении создается постоянно действующая </w:t>
      </w:r>
      <w:r>
        <w:rPr>
          <w:rFonts w:ascii="Times New Roman" w:hAnsi="Times New Roman"/>
          <w:b/>
          <w:i/>
          <w:szCs w:val="24"/>
        </w:rPr>
        <w:t xml:space="preserve">Комиссия по поступлению и выбытию активов </w:t>
      </w:r>
      <w:r>
        <w:rPr>
          <w:rFonts w:ascii="Times New Roman" w:hAnsi="Times New Roman"/>
          <w:szCs w:val="24"/>
        </w:rPr>
        <w:t xml:space="preserve">(далее – Комиссия). </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2. Приказом руководителя утвержден состав постоянно действующей комиссии по поступлению и выбытию активов.</w:t>
      </w:r>
    </w:p>
    <w:p>
      <w:pPr>
        <w:pStyle w:val="23"/>
        <w:spacing w:lineRule="auto" w:line="240"/>
        <w:ind w:firstLine="709"/>
        <w:rPr>
          <w:rFonts w:ascii="Times New Roman" w:hAnsi="Times New Roman"/>
          <w:szCs w:val="24"/>
        </w:rPr>
      </w:pPr>
      <w:r>
        <w:rPr>
          <w:rFonts w:ascii="Times New Roman" w:hAnsi="Times New Roman"/>
          <w:szCs w:val="24"/>
        </w:rPr>
        <w:t xml:space="preserve">3. Комиссия определяет отдельные вопросы поступления и выбытия всех видов нефинансовых активов, установленные в настоящем Положении. </w:t>
      </w:r>
    </w:p>
    <w:p>
      <w:pPr>
        <w:pStyle w:val="23"/>
        <w:spacing w:lineRule="auto" w:line="240"/>
        <w:ind w:firstLine="709"/>
        <w:rPr>
          <w:rFonts w:ascii="Times New Roman" w:hAnsi="Times New Roman"/>
          <w:szCs w:val="24"/>
        </w:rPr>
      </w:pPr>
      <w:r>
        <w:rPr>
          <w:rFonts w:ascii="Times New Roman" w:hAnsi="Times New Roman"/>
          <w:szCs w:val="24"/>
        </w:rPr>
      </w:r>
    </w:p>
    <w:p>
      <w:pPr>
        <w:pStyle w:val="23"/>
        <w:spacing w:lineRule="auto" w:line="240"/>
        <w:ind w:firstLine="709"/>
        <w:jc w:val="center"/>
        <w:rPr>
          <w:rFonts w:ascii="Times New Roman" w:hAnsi="Times New Roman"/>
          <w:b/>
          <w:b/>
          <w:szCs w:val="24"/>
        </w:rPr>
      </w:pPr>
      <w:r>
        <w:rPr>
          <w:rFonts w:ascii="Times New Roman" w:hAnsi="Times New Roman"/>
          <w:b/>
          <w:szCs w:val="24"/>
        </w:rPr>
        <w:t>Порядок принятия решения об определении справедливой стоимости активов</w:t>
      </w:r>
    </w:p>
    <w:p>
      <w:pPr>
        <w:pStyle w:val="23"/>
        <w:spacing w:lineRule="auto" w:line="240"/>
        <w:ind w:firstLine="709"/>
        <w:rPr>
          <w:rFonts w:ascii="Times New Roman" w:hAnsi="Times New Roman"/>
          <w:szCs w:val="24"/>
        </w:rPr>
      </w:pPr>
      <w:r>
        <w:rPr>
          <w:rFonts w:ascii="Times New Roman" w:hAnsi="Times New Roman"/>
          <w:szCs w:val="24"/>
        </w:rPr>
      </w:r>
    </w:p>
    <w:p>
      <w:pPr>
        <w:pStyle w:val="23"/>
        <w:spacing w:lineRule="auto" w:line="240"/>
        <w:ind w:firstLine="709"/>
        <w:rPr>
          <w:rFonts w:ascii="Times New Roman" w:hAnsi="Times New Roman"/>
          <w:szCs w:val="24"/>
        </w:rPr>
      </w:pPr>
      <w:r>
        <w:rPr>
          <w:rFonts w:ascii="Times New Roman" w:hAnsi="Times New Roman"/>
          <w:szCs w:val="24"/>
        </w:rPr>
        <w:t xml:space="preserve">4. Справедливая стоимость актива определяется методом рыночных цен в следующих случаях: </w:t>
      </w:r>
    </w:p>
    <w:p>
      <w:pPr>
        <w:pStyle w:val="23"/>
        <w:numPr>
          <w:ilvl w:val="0"/>
          <w:numId w:val="35"/>
        </w:numPr>
        <w:spacing w:lineRule="auto" w:line="240"/>
        <w:ind w:left="0" w:firstLine="709"/>
        <w:rPr>
          <w:rFonts w:ascii="Times New Roman" w:hAnsi="Times New Roman"/>
          <w:szCs w:val="24"/>
        </w:rPr>
      </w:pPr>
      <w:r>
        <w:rPr>
          <w:rFonts w:ascii="Times New Roman" w:hAnsi="Times New Roman"/>
          <w:szCs w:val="24"/>
        </w:rPr>
        <w:t>При безвозмездном поступлении имущества от организаций (за исключением государственных или муниципальных) и от физических лиц.</w:t>
      </w:r>
    </w:p>
    <w:p>
      <w:pPr>
        <w:pStyle w:val="23"/>
        <w:numPr>
          <w:ilvl w:val="0"/>
          <w:numId w:val="35"/>
        </w:numPr>
        <w:spacing w:lineRule="auto" w:line="240"/>
        <w:ind w:left="0" w:firstLine="709"/>
        <w:rPr>
          <w:rFonts w:ascii="Times New Roman" w:hAnsi="Times New Roman"/>
          <w:szCs w:val="24"/>
        </w:rPr>
      </w:pPr>
      <w:r>
        <w:rPr>
          <w:rFonts w:ascii="Times New Roman" w:hAnsi="Times New Roman"/>
          <w:szCs w:val="24"/>
        </w:rPr>
        <w:t>При выявлении излишков по результатам инвентаризации.</w:t>
      </w:r>
    </w:p>
    <w:p>
      <w:pPr>
        <w:pStyle w:val="23"/>
        <w:numPr>
          <w:ilvl w:val="0"/>
          <w:numId w:val="35"/>
        </w:numPr>
        <w:spacing w:lineRule="auto" w:line="240"/>
        <w:ind w:left="0" w:firstLine="709"/>
        <w:rPr>
          <w:rFonts w:ascii="Times New Roman" w:hAnsi="Times New Roman"/>
          <w:szCs w:val="24"/>
        </w:rPr>
      </w:pPr>
      <w:r>
        <w:rPr>
          <w:rFonts w:ascii="Times New Roman" w:hAnsi="Times New Roman"/>
          <w:szCs w:val="24"/>
        </w:rPr>
        <w:t>При принятии к учету деталей, узлов, механизмов от списания основных средств, а также лома, ветоши, макулатуры, остающихся от списания или ремонта нефинансовых активов.</w:t>
      </w:r>
    </w:p>
    <w:p>
      <w:pPr>
        <w:pStyle w:val="23"/>
        <w:numPr>
          <w:ilvl w:val="0"/>
          <w:numId w:val="35"/>
        </w:numPr>
        <w:spacing w:lineRule="auto" w:line="240"/>
        <w:ind w:left="0" w:firstLine="709"/>
        <w:rPr>
          <w:rFonts w:ascii="Times New Roman" w:hAnsi="Times New Roman"/>
          <w:szCs w:val="24"/>
        </w:rPr>
      </w:pPr>
      <w:r>
        <w:rPr>
          <w:rFonts w:ascii="Times New Roman" w:hAnsi="Times New Roman"/>
          <w:szCs w:val="24"/>
        </w:rPr>
        <w:t>При принятии к учету спецоборудования или экспериментальных устройств, остающихся у учреждения после окончания НИР.</w:t>
      </w:r>
    </w:p>
    <w:p>
      <w:pPr>
        <w:pStyle w:val="23"/>
        <w:numPr>
          <w:ilvl w:val="0"/>
          <w:numId w:val="35"/>
        </w:numPr>
        <w:spacing w:lineRule="auto" w:line="240"/>
        <w:ind w:left="0" w:firstLine="709"/>
        <w:rPr>
          <w:rFonts w:ascii="Times New Roman" w:hAnsi="Times New Roman"/>
          <w:szCs w:val="24"/>
        </w:rPr>
      </w:pPr>
      <w:r>
        <w:rPr>
          <w:rFonts w:ascii="Times New Roman" w:hAnsi="Times New Roman"/>
          <w:szCs w:val="24"/>
        </w:rPr>
        <w:t xml:space="preserve">В иных случаях, когда согласно единой методологии бюджетного учета и бюджетной отчетности, установленной в соответствии с бюджетным законодательством РФ, и Инструкцией о порядке составления, представления годовой, квартальной бухгалтерской отчетности государственных (муниципальных) бюджетных и автономных учреждений требуется определение </w:t>
      </w:r>
      <w:r>
        <w:rPr>
          <w:rFonts w:ascii="Times New Roman" w:hAnsi="Times New Roman"/>
          <w:b/>
          <w:i/>
          <w:szCs w:val="24"/>
        </w:rPr>
        <w:t>оценочной стоимости имущества</w:t>
      </w:r>
      <w:r>
        <w:rPr>
          <w:rFonts w:ascii="Times New Roman" w:hAnsi="Times New Roman"/>
          <w:szCs w:val="24"/>
        </w:rPr>
        <w:t xml:space="preserve"> </w:t>
      </w:r>
    </w:p>
    <w:p>
      <w:pPr>
        <w:pStyle w:val="23"/>
        <w:spacing w:lineRule="auto" w:line="240"/>
        <w:ind w:firstLine="709"/>
        <w:rPr>
          <w:rFonts w:ascii="Times New Roman" w:hAnsi="Times New Roman"/>
          <w:szCs w:val="24"/>
        </w:rPr>
      </w:pPr>
      <w:r>
        <w:rPr>
          <w:rFonts w:ascii="Times New Roman" w:hAnsi="Times New Roman"/>
          <w:szCs w:val="24"/>
        </w:rPr>
        <w:t xml:space="preserve">5. Справедливая стоимость актива определяется методом амортизированной стоимости замещения при применении СГС «Обесценение активов» в случае, если определить справедливую стоимость для оценки величины обесценения представляется Комиссии затруднительным. </w:t>
      </w:r>
    </w:p>
    <w:p>
      <w:pPr>
        <w:pStyle w:val="23"/>
        <w:spacing w:lineRule="auto" w:line="240"/>
        <w:ind w:firstLine="709"/>
        <w:rPr>
          <w:rFonts w:ascii="Times New Roman" w:hAnsi="Times New Roman"/>
          <w:szCs w:val="24"/>
        </w:rPr>
      </w:pPr>
      <w:r>
        <w:rPr>
          <w:rFonts w:ascii="Times New Roman" w:hAnsi="Times New Roman"/>
          <w:szCs w:val="24"/>
        </w:rPr>
        <w:t>6. При определении справедливой стоимости методом рыночных цен в целях принятия к бухгалтерскому учету объекта нефинансовых активов Комиссией используются:</w:t>
      </w:r>
    </w:p>
    <w:p>
      <w:pPr>
        <w:pStyle w:val="23"/>
        <w:numPr>
          <w:ilvl w:val="0"/>
          <w:numId w:val="36"/>
        </w:numPr>
        <w:spacing w:lineRule="auto" w:line="240"/>
        <w:ind w:left="0" w:firstLine="709"/>
        <w:rPr>
          <w:rFonts w:ascii="Times New Roman" w:hAnsi="Times New Roman"/>
          <w:szCs w:val="24"/>
        </w:rPr>
      </w:pPr>
      <w:r>
        <w:rPr>
          <w:rFonts w:ascii="Times New Roman" w:hAnsi="Times New Roman"/>
          <w:szCs w:val="24"/>
        </w:rPr>
        <w:t>Данные о ценах на аналогичные материальные ценности, полученные в письменной форме от организаций-изготовителей или продавцов</w:t>
      </w:r>
    </w:p>
    <w:p>
      <w:pPr>
        <w:pStyle w:val="23"/>
        <w:numPr>
          <w:ilvl w:val="1"/>
          <w:numId w:val="36"/>
        </w:numPr>
        <w:spacing w:lineRule="auto" w:line="240"/>
        <w:ind w:left="0" w:firstLine="709"/>
        <w:rPr>
          <w:rFonts w:ascii="Times New Roman" w:hAnsi="Times New Roman"/>
          <w:szCs w:val="24"/>
        </w:rPr>
      </w:pPr>
      <w:r>
        <w:rPr>
          <w:rFonts w:ascii="Times New Roman" w:hAnsi="Times New Roman"/>
          <w:szCs w:val="24"/>
        </w:rPr>
        <w:t>При принятии решения для новых объектов – используются сведения не менее чем из трех прайс-листов разных организаций-изготовителей (продавцов) путем расчета среднего арифметического. Используемые прайс-листы (коммерческие предложения) прикладываются к решению Комиссии</w:t>
      </w:r>
    </w:p>
    <w:p>
      <w:pPr>
        <w:pStyle w:val="23"/>
        <w:numPr>
          <w:ilvl w:val="1"/>
          <w:numId w:val="36"/>
        </w:numPr>
        <w:spacing w:lineRule="auto" w:line="240"/>
        <w:ind w:left="0" w:firstLine="709"/>
        <w:rPr>
          <w:rFonts w:ascii="Times New Roman" w:hAnsi="Times New Roman"/>
          <w:szCs w:val="24"/>
        </w:rPr>
      </w:pPr>
      <w:r>
        <w:rPr>
          <w:rFonts w:ascii="Times New Roman" w:hAnsi="Times New Roman"/>
          <w:szCs w:val="24"/>
        </w:rPr>
        <w:t>При принятии решения для объектов бывших в эксплуатации – используются сведения из специализированных сайтов объявлений (</w:t>
      </w:r>
      <w:r>
        <w:rPr>
          <w:rFonts w:ascii="Times New Roman" w:hAnsi="Times New Roman"/>
          <w:szCs w:val="24"/>
          <w:lang w:val="en-US"/>
        </w:rPr>
        <w:t>avito</w:t>
      </w:r>
      <w:r>
        <w:rPr>
          <w:rFonts w:ascii="Times New Roman" w:hAnsi="Times New Roman"/>
          <w:szCs w:val="24"/>
        </w:rPr>
        <w:t>.</w:t>
      </w:r>
      <w:r>
        <w:rPr>
          <w:rFonts w:ascii="Times New Roman" w:hAnsi="Times New Roman"/>
          <w:szCs w:val="24"/>
          <w:lang w:val="en-US"/>
        </w:rPr>
        <w:t>ru</w:t>
      </w:r>
      <w:r>
        <w:rPr>
          <w:rFonts w:ascii="Times New Roman" w:hAnsi="Times New Roman"/>
          <w:szCs w:val="24"/>
        </w:rPr>
        <w:t xml:space="preserve">, </w:t>
      </w:r>
      <w:r>
        <w:rPr>
          <w:rFonts w:ascii="Times New Roman" w:hAnsi="Times New Roman"/>
          <w:szCs w:val="24"/>
          <w:lang w:val="en-US"/>
        </w:rPr>
        <w:t>irr</w:t>
      </w:r>
      <w:r>
        <w:rPr>
          <w:rFonts w:ascii="Times New Roman" w:hAnsi="Times New Roman"/>
          <w:szCs w:val="24"/>
        </w:rPr>
        <w:t>.</w:t>
      </w:r>
      <w:r>
        <w:rPr>
          <w:rFonts w:ascii="Times New Roman" w:hAnsi="Times New Roman"/>
          <w:szCs w:val="24"/>
          <w:lang w:val="en-US"/>
        </w:rPr>
        <w:t>ru</w:t>
      </w:r>
      <w:r>
        <w:rPr>
          <w:rFonts w:ascii="Times New Roman" w:hAnsi="Times New Roman"/>
          <w:szCs w:val="24"/>
        </w:rPr>
        <w:t xml:space="preserve">, </w:t>
      </w:r>
      <w:r>
        <w:rPr>
          <w:rFonts w:ascii="Times New Roman" w:hAnsi="Times New Roman"/>
          <w:szCs w:val="24"/>
          <w:lang w:val="en-US"/>
        </w:rPr>
        <w:t>auto</w:t>
      </w:r>
      <w:r>
        <w:rPr>
          <w:rFonts w:ascii="Times New Roman" w:hAnsi="Times New Roman"/>
          <w:szCs w:val="24"/>
        </w:rPr>
        <w:t>.</w:t>
      </w:r>
      <w:r>
        <w:rPr>
          <w:rFonts w:ascii="Times New Roman" w:hAnsi="Times New Roman"/>
          <w:szCs w:val="24"/>
          <w:lang w:val="en-US"/>
        </w:rPr>
        <w:t>ru</w:t>
      </w:r>
      <w:r>
        <w:rPr>
          <w:rFonts w:ascii="Times New Roman" w:hAnsi="Times New Roman"/>
          <w:szCs w:val="24"/>
        </w:rPr>
        <w:t xml:space="preserve">, </w:t>
      </w:r>
      <w:r>
        <w:rPr>
          <w:rFonts w:ascii="Times New Roman" w:hAnsi="Times New Roman"/>
          <w:szCs w:val="24"/>
          <w:lang w:val="en-US"/>
        </w:rPr>
        <w:t>youla</w:t>
      </w:r>
      <w:r>
        <w:rPr>
          <w:rFonts w:ascii="Times New Roman" w:hAnsi="Times New Roman"/>
          <w:szCs w:val="24"/>
        </w:rPr>
        <w:t>.</w:t>
      </w:r>
      <w:r>
        <w:rPr>
          <w:rFonts w:ascii="Times New Roman" w:hAnsi="Times New Roman"/>
          <w:szCs w:val="24"/>
          <w:lang w:val="en-US"/>
        </w:rPr>
        <w:t>io</w:t>
      </w:r>
      <w:r>
        <w:rPr>
          <w:rFonts w:ascii="Times New Roman" w:hAnsi="Times New Roman"/>
          <w:szCs w:val="24"/>
        </w:rPr>
        <w:t xml:space="preserve"> и аналогичных перечисленным), путем расчета среднего арифметического не менее чем из трех объявлений. Использованные при расчете объявления прикладываются к решению Комиссии</w:t>
      </w:r>
    </w:p>
    <w:p>
      <w:pPr>
        <w:pStyle w:val="23"/>
        <w:numPr>
          <w:ilvl w:val="0"/>
          <w:numId w:val="36"/>
        </w:numPr>
        <w:spacing w:lineRule="auto" w:line="240"/>
        <w:ind w:left="0" w:firstLine="709"/>
        <w:rPr>
          <w:rFonts w:ascii="Times New Roman" w:hAnsi="Times New Roman"/>
          <w:szCs w:val="24"/>
        </w:rPr>
      </w:pPr>
      <w:r>
        <w:rPr>
          <w:rFonts w:ascii="Times New Roman" w:hAnsi="Times New Roman"/>
          <w:szCs w:val="24"/>
        </w:rPr>
        <w:t>Сведения об уровне цен, имеющиеся у органов государственной статистики. В данном случае к решению Комиссии прикладывается официальный ответ от органа статистики или сведения с официального сайта</w:t>
      </w:r>
    </w:p>
    <w:p>
      <w:pPr>
        <w:pStyle w:val="23"/>
        <w:numPr>
          <w:ilvl w:val="0"/>
          <w:numId w:val="36"/>
        </w:numPr>
        <w:spacing w:lineRule="auto" w:line="240"/>
        <w:ind w:left="0" w:firstLine="709"/>
        <w:rPr>
          <w:rFonts w:ascii="Times New Roman" w:hAnsi="Times New Roman"/>
          <w:szCs w:val="24"/>
        </w:rPr>
      </w:pPr>
      <w:r>
        <w:rPr>
          <w:rFonts w:ascii="Times New Roman" w:hAnsi="Times New Roman"/>
          <w:szCs w:val="24"/>
        </w:rPr>
        <w:t xml:space="preserve">Иные сведения об уровне цен, полученные из средств массовой информации (в том числе и из сети </w:t>
      </w:r>
      <w:r>
        <w:rPr>
          <w:rFonts w:ascii="Times New Roman" w:hAnsi="Times New Roman"/>
          <w:szCs w:val="24"/>
          <w:lang w:val="en-US"/>
        </w:rPr>
        <w:t>Internet</w:t>
      </w:r>
      <w:r>
        <w:rPr>
          <w:rFonts w:ascii="Times New Roman" w:hAnsi="Times New Roman"/>
          <w:szCs w:val="24"/>
        </w:rPr>
        <w:t>) и специальной литературы</w:t>
      </w:r>
    </w:p>
    <w:p>
      <w:pPr>
        <w:pStyle w:val="23"/>
        <w:numPr>
          <w:ilvl w:val="0"/>
          <w:numId w:val="36"/>
        </w:numPr>
        <w:spacing w:lineRule="auto" w:line="240"/>
        <w:ind w:left="0" w:firstLine="709"/>
        <w:rPr>
          <w:rFonts w:ascii="Times New Roman" w:hAnsi="Times New Roman"/>
          <w:szCs w:val="24"/>
        </w:rPr>
      </w:pPr>
      <w:r>
        <w:rPr>
          <w:rFonts w:ascii="Times New Roman" w:hAnsi="Times New Roman"/>
          <w:szCs w:val="24"/>
        </w:rPr>
        <w:t>Экспертные заключения (в том числе экспертов, привлеченных на добровольных началах к работе в Комиссии) о стоимости отдельных (аналогичных) объектов нефинансовых активов</w:t>
      </w:r>
    </w:p>
    <w:p>
      <w:pPr>
        <w:pStyle w:val="23"/>
        <w:spacing w:lineRule="auto" w:line="240"/>
        <w:ind w:firstLine="709"/>
        <w:rPr>
          <w:rFonts w:ascii="Times New Roman" w:hAnsi="Times New Roman"/>
          <w:szCs w:val="24"/>
        </w:rPr>
      </w:pPr>
      <w:r>
        <w:rPr>
          <w:rFonts w:ascii="Times New Roman" w:hAnsi="Times New Roman"/>
          <w:szCs w:val="24"/>
        </w:rPr>
        <w:t xml:space="preserve">6.1. В случае если данные о ценах на аналогичные или схожие материальные ценности по каким-либо причинам недоступны, то для своевременного отражения операции в бухгалтерском учете применятся оценочная стоимость в условной оценке равной одному рублю. После получения оценки Комиссия осуществляет пересмотр ранее установленной стоимости (п. 25 Инструкции 157н). </w:t>
      </w:r>
    </w:p>
    <w:p>
      <w:pPr>
        <w:pStyle w:val="23"/>
        <w:spacing w:lineRule="auto" w:line="240"/>
        <w:ind w:firstLine="709"/>
        <w:rPr>
          <w:rFonts w:ascii="Times New Roman" w:hAnsi="Times New Roman"/>
          <w:szCs w:val="24"/>
        </w:rPr>
      </w:pPr>
      <w:r>
        <w:rPr>
          <w:rFonts w:ascii="Times New Roman" w:hAnsi="Times New Roman"/>
          <w:szCs w:val="24"/>
        </w:rPr>
        <w:t>6.2. Определение справедливой стоимости арендных платежей для объектов учета операционной аренды (п. 27.1 Приказа 258н) производится в порядке, установленном п. 6 настоящего Положения. При этом берутся данные:</w:t>
      </w:r>
    </w:p>
    <w:p>
      <w:pPr>
        <w:pStyle w:val="23"/>
        <w:numPr>
          <w:ilvl w:val="0"/>
          <w:numId w:val="43"/>
        </w:numPr>
        <w:spacing w:lineRule="auto" w:line="240"/>
        <w:ind w:left="0" w:firstLine="709"/>
        <w:rPr>
          <w:rFonts w:ascii="Times New Roman" w:hAnsi="Times New Roman"/>
          <w:szCs w:val="24"/>
        </w:rPr>
      </w:pPr>
      <w:r>
        <w:rPr>
          <w:rFonts w:ascii="Times New Roman" w:hAnsi="Times New Roman"/>
          <w:szCs w:val="24"/>
        </w:rPr>
        <w:t>О средней стоимости аренды недвижимого имущества, полученные от органа, наделенного полномочиями управления государственным (муниципальным) имуществом, или, при отсутствии таких сведений:</w:t>
      </w:r>
    </w:p>
    <w:p>
      <w:pPr>
        <w:pStyle w:val="23"/>
        <w:numPr>
          <w:ilvl w:val="0"/>
          <w:numId w:val="43"/>
        </w:numPr>
        <w:spacing w:lineRule="auto" w:line="240"/>
        <w:ind w:left="0" w:firstLine="709"/>
        <w:rPr>
          <w:rFonts w:ascii="Times New Roman" w:hAnsi="Times New Roman"/>
          <w:szCs w:val="24"/>
        </w:rPr>
      </w:pPr>
      <w:r>
        <w:rPr>
          <w:rFonts w:ascii="Times New Roman" w:hAnsi="Times New Roman"/>
          <w:szCs w:val="24"/>
        </w:rPr>
        <w:t xml:space="preserve">Из не менее чем трех предложений из аукционов по аренде аналогичного объекта имущества за весь срок пользования объектом с сайта </w:t>
      </w:r>
      <w:r>
        <w:rPr>
          <w:rFonts w:ascii="Times New Roman" w:hAnsi="Times New Roman"/>
          <w:szCs w:val="24"/>
          <w:lang w:val="en-US"/>
        </w:rPr>
        <w:t>torgi</w:t>
      </w:r>
      <w:r>
        <w:rPr>
          <w:rFonts w:ascii="Times New Roman" w:hAnsi="Times New Roman"/>
          <w:szCs w:val="24"/>
        </w:rPr>
        <w:t>.</w:t>
      </w:r>
      <w:r>
        <w:rPr>
          <w:rFonts w:ascii="Times New Roman" w:hAnsi="Times New Roman"/>
          <w:szCs w:val="24"/>
          <w:lang w:val="en-US"/>
        </w:rPr>
        <w:t>gov</w:t>
      </w:r>
      <w:r>
        <w:rPr>
          <w:rFonts w:ascii="Times New Roman" w:hAnsi="Times New Roman"/>
          <w:szCs w:val="24"/>
        </w:rPr>
        <w:t>.</w:t>
      </w:r>
      <w:r>
        <w:rPr>
          <w:rFonts w:ascii="Times New Roman" w:hAnsi="Times New Roman"/>
          <w:szCs w:val="24"/>
          <w:lang w:val="en-US"/>
        </w:rPr>
        <w:t>ru</w:t>
      </w:r>
    </w:p>
    <w:p>
      <w:pPr>
        <w:pStyle w:val="23"/>
        <w:numPr>
          <w:ilvl w:val="0"/>
          <w:numId w:val="43"/>
        </w:numPr>
        <w:spacing w:lineRule="auto" w:line="240"/>
        <w:ind w:left="0" w:firstLine="709"/>
        <w:rPr>
          <w:rFonts w:ascii="Times New Roman" w:hAnsi="Times New Roman"/>
          <w:szCs w:val="24"/>
        </w:rPr>
      </w:pPr>
      <w:r>
        <w:rPr>
          <w:rFonts w:ascii="Times New Roman" w:hAnsi="Times New Roman"/>
          <w:szCs w:val="24"/>
        </w:rPr>
        <w:t>Из не менее чем трех коммерческих предложений по аренде аналогичного объекта имущества за весь срок пользования объектом</w:t>
      </w:r>
    </w:p>
    <w:p>
      <w:pPr>
        <w:pStyle w:val="23"/>
        <w:spacing w:lineRule="auto" w:line="240"/>
        <w:ind w:firstLine="709"/>
        <w:rPr>
          <w:rFonts w:ascii="Times New Roman" w:hAnsi="Times New Roman"/>
          <w:szCs w:val="24"/>
        </w:rPr>
      </w:pPr>
      <w:r>
        <w:rPr>
          <w:rFonts w:ascii="Times New Roman" w:hAnsi="Times New Roman"/>
          <w:szCs w:val="24"/>
        </w:rPr>
        <w:t>7. Определение справедливой стоимости методом амортизированной стоимости замещения осуществляется в соответствии с п. 56 Приказа 256н.</w:t>
      </w:r>
    </w:p>
    <w:p>
      <w:pPr>
        <w:pStyle w:val="23"/>
        <w:spacing w:lineRule="auto" w:line="240"/>
        <w:ind w:firstLine="709"/>
        <w:rPr>
          <w:rFonts w:ascii="Times New Roman" w:hAnsi="Times New Roman"/>
          <w:szCs w:val="24"/>
        </w:rPr>
      </w:pPr>
      <w:r>
        <w:rPr>
          <w:rFonts w:ascii="Times New Roman" w:hAnsi="Times New Roman"/>
          <w:szCs w:val="24"/>
        </w:rPr>
      </w:r>
    </w:p>
    <w:p>
      <w:pPr>
        <w:pStyle w:val="23"/>
        <w:spacing w:lineRule="auto" w:line="240"/>
        <w:ind w:firstLine="709"/>
        <w:jc w:val="center"/>
        <w:rPr>
          <w:rFonts w:ascii="Times New Roman" w:hAnsi="Times New Roman"/>
          <w:b/>
          <w:b/>
          <w:szCs w:val="24"/>
        </w:rPr>
      </w:pPr>
      <w:r>
        <w:rPr>
          <w:rFonts w:ascii="Times New Roman" w:hAnsi="Times New Roman"/>
          <w:b/>
          <w:szCs w:val="24"/>
        </w:rPr>
        <w:t>Порядок принятия решения об определении кода ОКОФ и срока полезного использования основных средств</w:t>
      </w:r>
    </w:p>
    <w:p>
      <w:pPr>
        <w:pStyle w:val="23"/>
        <w:spacing w:lineRule="auto" w:line="240"/>
        <w:ind w:firstLine="709"/>
        <w:jc w:val="center"/>
        <w:rPr>
          <w:rFonts w:ascii="Times New Roman" w:hAnsi="Times New Roman"/>
          <w:b/>
          <w:b/>
          <w:szCs w:val="24"/>
        </w:rPr>
      </w:pPr>
      <w:r>
        <w:rPr>
          <w:rFonts w:ascii="Times New Roman" w:hAnsi="Times New Roman"/>
          <w:b/>
          <w:szCs w:val="24"/>
        </w:rPr>
      </w:r>
    </w:p>
    <w:p>
      <w:pPr>
        <w:pStyle w:val="23"/>
        <w:spacing w:lineRule="auto" w:line="240"/>
        <w:ind w:firstLine="709"/>
        <w:rPr>
          <w:rFonts w:ascii="Times New Roman" w:hAnsi="Times New Roman"/>
          <w:szCs w:val="24"/>
        </w:rPr>
      </w:pPr>
      <w:r>
        <w:rPr>
          <w:rFonts w:ascii="Times New Roman" w:hAnsi="Times New Roman"/>
          <w:szCs w:val="24"/>
        </w:rPr>
        <w:t xml:space="preserve">8. Группировка объектов основных средств, принимаемых к учету с 1 января 2017 года, осуществляется в соответствии с группировкой, предусмотренной Общероссийским классификатором основных фондов ОКОФ ОК 013-2014 (СНС)) и сроками полезного использования, определенными положениями постановления Правительства Российской Федерации от 1 января 2002 г. N 1 "О классификации основных средств, включаемых в амортизационные группы" (в редакции постановления Правительства Российской Федерации от 7 июля 2016 г. N 640). В случае невозможности однозначного определения кода ОКОФ для таких основных фондов, Комиссия: </w:t>
      </w:r>
    </w:p>
    <w:p>
      <w:pPr>
        <w:pStyle w:val="23"/>
        <w:numPr>
          <w:ilvl w:val="0"/>
          <w:numId w:val="38"/>
        </w:numPr>
        <w:spacing w:lineRule="auto" w:line="240"/>
        <w:ind w:left="0" w:firstLine="709"/>
        <w:rPr>
          <w:rFonts w:ascii="Times New Roman" w:hAnsi="Times New Roman"/>
          <w:szCs w:val="24"/>
        </w:rPr>
      </w:pPr>
      <w:r>
        <w:rPr>
          <w:rFonts w:ascii="Times New Roman" w:hAnsi="Times New Roman"/>
          <w:szCs w:val="24"/>
        </w:rPr>
        <w:t>Определяет код ОКОФ в соответствии с Классификатором ОК 013-94, а затем переводит указанный код в соответствии с Приказом Федерального агентства по техническому регулированию и метрологии от 21 апреля 2016 г. N 458</w:t>
      </w:r>
    </w:p>
    <w:p>
      <w:pPr>
        <w:pStyle w:val="23"/>
        <w:numPr>
          <w:ilvl w:val="0"/>
          <w:numId w:val="38"/>
        </w:numPr>
        <w:spacing w:lineRule="auto" w:line="240"/>
        <w:ind w:left="0" w:firstLine="709"/>
        <w:rPr>
          <w:rFonts w:ascii="Times New Roman" w:hAnsi="Times New Roman"/>
          <w:szCs w:val="24"/>
        </w:rPr>
      </w:pPr>
      <w:r>
        <w:rPr>
          <w:rFonts w:ascii="Times New Roman" w:hAnsi="Times New Roman"/>
          <w:szCs w:val="24"/>
        </w:rPr>
        <w:t>В случае наличия противоречий в применении прямого (обратного) переходных ключей, утвержденных Приказом N 458, и ОКОФ ОК 013-2014 (СНС), а также отсутствия позиций в новых кодах ОКОФ ОК 013-2014 (СНС) для объектов учета, ранее включаемых в группы материальных ценностей, по своим критериям являющихся основными средствами, комиссия по поступлению и выбытию активов субъекта учета может принимать самостоятельное решение по отнесению указанных объектов к соответствующей группе кодов ОКОФ ОК 013-2014 (СНС)</w:t>
      </w:r>
    </w:p>
    <w:p>
      <w:pPr>
        <w:pStyle w:val="23"/>
        <w:spacing w:lineRule="auto" w:line="240"/>
        <w:ind w:firstLine="709"/>
        <w:rPr>
          <w:rFonts w:ascii="Times New Roman" w:hAnsi="Times New Roman"/>
          <w:szCs w:val="24"/>
        </w:rPr>
      </w:pPr>
      <w:r>
        <w:rPr>
          <w:rFonts w:ascii="Times New Roman" w:hAnsi="Times New Roman"/>
          <w:szCs w:val="24"/>
        </w:rPr>
        <w:t xml:space="preserve">9. Срок полезного использования поступающего актива при отсутствии в законодательстве РФ норм, устанавливающих сроки полезного использования имущества в целях начисления амортизации (в том числе в случае, когда примененный код ОКОФ одновременно определен в нескольких амортизационных группах), а также в случаях отсутствия информации в документах производителя устанавливается решением Комиссии на основании: </w:t>
      </w:r>
    </w:p>
    <w:p>
      <w:pPr>
        <w:pStyle w:val="23"/>
        <w:numPr>
          <w:ilvl w:val="0"/>
          <w:numId w:val="37"/>
        </w:numPr>
        <w:spacing w:lineRule="auto" w:line="240"/>
        <w:ind w:left="0" w:firstLine="709"/>
        <w:rPr>
          <w:rFonts w:ascii="Times New Roman" w:hAnsi="Times New Roman"/>
          <w:szCs w:val="24"/>
        </w:rPr>
      </w:pPr>
      <w:r>
        <w:rPr>
          <w:rFonts w:ascii="Times New Roman" w:hAnsi="Times New Roman"/>
          <w:szCs w:val="24"/>
        </w:rPr>
        <w:t>Ожидаемого срока использования этого объекта в соответствии с ожидаемой производительностью или мощностью</w:t>
      </w:r>
    </w:p>
    <w:p>
      <w:pPr>
        <w:pStyle w:val="23"/>
        <w:numPr>
          <w:ilvl w:val="0"/>
          <w:numId w:val="37"/>
        </w:numPr>
        <w:spacing w:lineRule="auto" w:line="240"/>
        <w:ind w:left="0" w:firstLine="709"/>
        <w:rPr>
          <w:rFonts w:ascii="Times New Roman" w:hAnsi="Times New Roman"/>
          <w:szCs w:val="24"/>
        </w:rPr>
      </w:pPr>
      <w:r>
        <w:rPr>
          <w:rFonts w:ascii="Times New Roman" w:hAnsi="Times New Roman"/>
          <w:szCs w:val="24"/>
        </w:rPr>
        <w:t>Ожидаемого физического износа, зависящего от режима эксплуатации, естественных условий и влияния агрессивной среды, системы проведения ремонта</w:t>
      </w:r>
    </w:p>
    <w:p>
      <w:pPr>
        <w:pStyle w:val="23"/>
        <w:numPr>
          <w:ilvl w:val="0"/>
          <w:numId w:val="37"/>
        </w:numPr>
        <w:spacing w:lineRule="auto" w:line="240"/>
        <w:ind w:left="0" w:firstLine="709"/>
        <w:rPr>
          <w:rFonts w:ascii="Times New Roman" w:hAnsi="Times New Roman"/>
          <w:szCs w:val="24"/>
        </w:rPr>
      </w:pPr>
      <w:r>
        <w:rPr>
          <w:rFonts w:ascii="Times New Roman" w:hAnsi="Times New Roman"/>
          <w:szCs w:val="24"/>
        </w:rPr>
        <w:t>Нормативно-правовых и других ограничений использования этого объекта</w:t>
      </w:r>
    </w:p>
    <w:p>
      <w:pPr>
        <w:pStyle w:val="23"/>
        <w:numPr>
          <w:ilvl w:val="0"/>
          <w:numId w:val="37"/>
        </w:numPr>
        <w:spacing w:lineRule="auto" w:line="240"/>
        <w:ind w:left="0" w:firstLine="709"/>
        <w:rPr>
          <w:rFonts w:ascii="Times New Roman" w:hAnsi="Times New Roman"/>
          <w:szCs w:val="24"/>
        </w:rPr>
      </w:pPr>
      <w:r>
        <w:rPr>
          <w:rFonts w:ascii="Times New Roman" w:hAnsi="Times New Roman"/>
          <w:szCs w:val="24"/>
        </w:rPr>
        <w:t>Гарантийного срока использования объекта</w:t>
      </w:r>
    </w:p>
    <w:p>
      <w:pPr>
        <w:pStyle w:val="23"/>
        <w:spacing w:lineRule="auto" w:line="240"/>
        <w:ind w:firstLine="709"/>
        <w:rPr>
          <w:rFonts w:ascii="Times New Roman" w:hAnsi="Times New Roman"/>
          <w:szCs w:val="24"/>
        </w:rPr>
      </w:pPr>
      <w:r>
        <w:rPr>
          <w:rFonts w:ascii="Times New Roman" w:hAnsi="Times New Roman"/>
          <w:szCs w:val="24"/>
        </w:rPr>
        <w:t xml:space="preserve">10. Срок полезного использования по активам, бывшим в употреблении и полученным учреждением безвозмездно от юридических (физических) лиц, не являющихся субъектами бюджетного учета и от физических лиц, определяется Комиссией аналогично п. 9 настоящего Положения. </w:t>
      </w:r>
    </w:p>
    <w:p>
      <w:pPr>
        <w:pStyle w:val="23"/>
        <w:spacing w:lineRule="auto" w:line="240"/>
        <w:ind w:firstLine="709"/>
        <w:rPr>
          <w:rFonts w:ascii="Times New Roman" w:hAnsi="Times New Roman"/>
          <w:szCs w:val="24"/>
        </w:rPr>
      </w:pPr>
      <w:r>
        <w:rPr>
          <w:rFonts w:ascii="Times New Roman" w:hAnsi="Times New Roman"/>
          <w:szCs w:val="24"/>
        </w:rPr>
      </w:r>
    </w:p>
    <w:p>
      <w:pPr>
        <w:pStyle w:val="23"/>
        <w:spacing w:lineRule="auto" w:line="240"/>
        <w:ind w:firstLine="709"/>
        <w:jc w:val="center"/>
        <w:rPr>
          <w:rFonts w:ascii="Times New Roman" w:hAnsi="Times New Roman"/>
          <w:b/>
          <w:b/>
          <w:szCs w:val="24"/>
        </w:rPr>
      </w:pPr>
      <w:r>
        <w:rPr>
          <w:rFonts w:ascii="Times New Roman" w:hAnsi="Times New Roman"/>
          <w:b/>
          <w:szCs w:val="24"/>
        </w:rPr>
        <w:t>Порядок принятия решения об изменении первоначальной стоимости активов (основных средств)</w:t>
      </w:r>
    </w:p>
    <w:p>
      <w:pPr>
        <w:pStyle w:val="23"/>
        <w:spacing w:lineRule="auto" w:line="240"/>
        <w:ind w:firstLine="709"/>
        <w:rPr>
          <w:rFonts w:ascii="Times New Roman" w:hAnsi="Times New Roman"/>
          <w:szCs w:val="24"/>
        </w:rPr>
      </w:pPr>
      <w:r>
        <w:rPr>
          <w:rFonts w:ascii="Times New Roman" w:hAnsi="Times New Roman"/>
          <w:szCs w:val="24"/>
        </w:rPr>
      </w:r>
    </w:p>
    <w:p>
      <w:pPr>
        <w:pStyle w:val="23"/>
        <w:spacing w:lineRule="auto" w:line="240"/>
        <w:ind w:firstLine="709"/>
        <w:rPr>
          <w:rFonts w:ascii="Times New Roman" w:hAnsi="Times New Roman"/>
          <w:szCs w:val="24"/>
        </w:rPr>
      </w:pPr>
      <w:r>
        <w:rPr>
          <w:rFonts w:ascii="Times New Roman" w:hAnsi="Times New Roman"/>
          <w:szCs w:val="24"/>
        </w:rPr>
        <w:t>11. Изменение балансовой стоимости объекта основных средств после его признания в бухгалтерском учете возможно в случаях:</w:t>
      </w:r>
    </w:p>
    <w:p>
      <w:pPr>
        <w:pStyle w:val="23"/>
        <w:numPr>
          <w:ilvl w:val="0"/>
          <w:numId w:val="39"/>
        </w:numPr>
        <w:spacing w:lineRule="auto" w:line="240"/>
        <w:ind w:left="0" w:firstLine="709"/>
        <w:rPr>
          <w:rFonts w:ascii="Times New Roman" w:hAnsi="Times New Roman"/>
          <w:szCs w:val="24"/>
        </w:rPr>
      </w:pPr>
      <w:r>
        <w:rPr>
          <w:rFonts w:ascii="Times New Roman" w:hAnsi="Times New Roman"/>
          <w:szCs w:val="24"/>
        </w:rPr>
        <w:t>достройки, дооборудования, реконструкции, в том числе с элементами реставрации, технического перевооружения, модернизации, частичной ликвидации (разукомплектации)</w:t>
      </w:r>
    </w:p>
    <w:p>
      <w:pPr>
        <w:pStyle w:val="23"/>
        <w:numPr>
          <w:ilvl w:val="0"/>
          <w:numId w:val="39"/>
        </w:numPr>
        <w:spacing w:lineRule="auto" w:line="240"/>
        <w:ind w:left="0" w:firstLine="709"/>
        <w:rPr>
          <w:rFonts w:ascii="Times New Roman" w:hAnsi="Times New Roman"/>
          <w:szCs w:val="24"/>
        </w:rPr>
      </w:pPr>
      <w:r>
        <w:rPr>
          <w:rFonts w:ascii="Times New Roman" w:hAnsi="Times New Roman"/>
          <w:szCs w:val="24"/>
        </w:rPr>
        <w:t>замещения (частичной замены в рамках капитального ремонта в целях реконструкции, технического перевооружения, модернизации) объекта или его составной части</w:t>
      </w:r>
    </w:p>
    <w:p>
      <w:pPr>
        <w:pStyle w:val="23"/>
        <w:numPr>
          <w:ilvl w:val="0"/>
          <w:numId w:val="39"/>
        </w:numPr>
        <w:spacing w:lineRule="auto" w:line="240"/>
        <w:ind w:left="0" w:firstLine="709"/>
        <w:rPr>
          <w:rFonts w:ascii="Times New Roman" w:hAnsi="Times New Roman"/>
          <w:szCs w:val="24"/>
        </w:rPr>
      </w:pPr>
      <w:r>
        <w:rPr>
          <w:rFonts w:ascii="Times New Roman" w:hAnsi="Times New Roman"/>
          <w:szCs w:val="24"/>
        </w:rPr>
        <w:t>переоценки объектов основных средств</w:t>
      </w:r>
    </w:p>
    <w:p>
      <w:pPr>
        <w:pStyle w:val="23"/>
        <w:spacing w:lineRule="auto" w:line="240"/>
        <w:ind w:firstLine="709"/>
        <w:rPr>
          <w:rFonts w:ascii="Times New Roman" w:hAnsi="Times New Roman"/>
          <w:szCs w:val="24"/>
        </w:rPr>
      </w:pPr>
      <w:r>
        <w:rPr>
          <w:rFonts w:ascii="Times New Roman" w:hAnsi="Times New Roman"/>
          <w:szCs w:val="24"/>
        </w:rPr>
        <w:t xml:space="preserve">12. Разукомплектация и частичная ликвидация основных средств оформляется решением Комиссии и оформляется Актом о разукомплектации. При этом Комиссией определяется: </w:t>
      </w:r>
    </w:p>
    <w:p>
      <w:pPr>
        <w:pStyle w:val="23"/>
        <w:numPr>
          <w:ilvl w:val="0"/>
          <w:numId w:val="34"/>
        </w:numPr>
        <w:spacing w:lineRule="auto" w:line="240"/>
        <w:ind w:left="0" w:firstLine="709"/>
        <w:rPr>
          <w:rFonts w:ascii="Times New Roman" w:hAnsi="Times New Roman"/>
          <w:szCs w:val="24"/>
        </w:rPr>
      </w:pPr>
      <w:r>
        <w:rPr>
          <w:rFonts w:ascii="Times New Roman" w:hAnsi="Times New Roman"/>
          <w:szCs w:val="24"/>
        </w:rPr>
        <w:t>балансовая стоимость объектов, остающихся после разукомплектации, а также суммы начисленной амортизации, относящиеся к этим объектам</w:t>
      </w:r>
    </w:p>
    <w:p>
      <w:pPr>
        <w:pStyle w:val="23"/>
        <w:numPr>
          <w:ilvl w:val="0"/>
          <w:numId w:val="34"/>
        </w:numPr>
        <w:spacing w:lineRule="auto" w:line="240"/>
        <w:ind w:left="0" w:firstLine="709"/>
        <w:rPr>
          <w:rFonts w:ascii="Times New Roman" w:hAnsi="Times New Roman"/>
          <w:szCs w:val="24"/>
        </w:rPr>
      </w:pPr>
      <w:r>
        <w:rPr>
          <w:rFonts w:ascii="Times New Roman" w:hAnsi="Times New Roman"/>
          <w:szCs w:val="24"/>
        </w:rPr>
        <w:t>стоимости частей, списываемых из объекта и амортизация, относящаяся к этим частям</w:t>
      </w:r>
    </w:p>
    <w:p>
      <w:pPr>
        <w:pStyle w:val="23"/>
        <w:spacing w:lineRule="auto" w:line="240"/>
        <w:ind w:firstLine="709"/>
        <w:rPr>
          <w:rFonts w:ascii="Times New Roman" w:hAnsi="Times New Roman"/>
          <w:szCs w:val="24"/>
        </w:rPr>
      </w:pPr>
      <w:r>
        <w:rPr>
          <w:rFonts w:ascii="Times New Roman" w:hAnsi="Times New Roman"/>
          <w:szCs w:val="24"/>
        </w:rPr>
        <w:t xml:space="preserve">13. При определении списываемых частей объекта основных средств, их стоимость (как часть стоимости объекта основных средств) определяется: </w:t>
      </w:r>
    </w:p>
    <w:p>
      <w:pPr>
        <w:pStyle w:val="23"/>
        <w:numPr>
          <w:ilvl w:val="0"/>
          <w:numId w:val="40"/>
        </w:numPr>
        <w:spacing w:lineRule="auto" w:line="240"/>
        <w:ind w:left="0" w:firstLine="709"/>
        <w:rPr>
          <w:rFonts w:ascii="Times New Roman" w:hAnsi="Times New Roman"/>
          <w:szCs w:val="24"/>
        </w:rPr>
      </w:pPr>
      <w:r>
        <w:rPr>
          <w:rFonts w:ascii="Times New Roman" w:hAnsi="Times New Roman"/>
          <w:szCs w:val="24"/>
        </w:rPr>
        <w:t xml:space="preserve">по документам поставщика, полученным при принятии объекта к учету </w:t>
      </w:r>
    </w:p>
    <w:p>
      <w:pPr>
        <w:pStyle w:val="23"/>
        <w:numPr>
          <w:ilvl w:val="0"/>
          <w:numId w:val="40"/>
        </w:numPr>
        <w:spacing w:lineRule="auto" w:line="240"/>
        <w:ind w:left="0" w:firstLine="709"/>
        <w:rPr>
          <w:rFonts w:ascii="Times New Roman" w:hAnsi="Times New Roman"/>
          <w:szCs w:val="24"/>
        </w:rPr>
      </w:pPr>
      <w:r>
        <w:rPr>
          <w:rFonts w:ascii="Times New Roman" w:hAnsi="Times New Roman"/>
          <w:szCs w:val="24"/>
        </w:rPr>
        <w:t xml:space="preserve">при отсутствии документов поставщика – по справедливой стоимости, определяемой методом рыночных цен (с учетом срока использования объекта) в соответствии с п. 6 настоящего Положения </w:t>
      </w:r>
    </w:p>
    <w:p>
      <w:pPr>
        <w:pStyle w:val="23"/>
        <w:numPr>
          <w:ilvl w:val="0"/>
          <w:numId w:val="40"/>
        </w:numPr>
        <w:spacing w:lineRule="auto" w:line="240"/>
        <w:ind w:left="0" w:firstLine="709"/>
        <w:rPr>
          <w:rFonts w:ascii="Times New Roman" w:hAnsi="Times New Roman"/>
          <w:szCs w:val="24"/>
        </w:rPr>
      </w:pPr>
      <w:r>
        <w:rPr>
          <w:rFonts w:ascii="Times New Roman" w:hAnsi="Times New Roman"/>
          <w:szCs w:val="24"/>
        </w:rPr>
        <w:t xml:space="preserve">при отсутствии документов поставщика и при невозможности определения справедливой стоимости – на основании экспертного заключения </w:t>
      </w:r>
    </w:p>
    <w:p>
      <w:pPr>
        <w:pStyle w:val="23"/>
        <w:spacing w:lineRule="auto" w:line="240"/>
        <w:ind w:firstLine="709"/>
        <w:rPr>
          <w:rFonts w:ascii="Times New Roman" w:hAnsi="Times New Roman"/>
          <w:szCs w:val="24"/>
        </w:rPr>
      </w:pPr>
      <w:r>
        <w:rPr>
          <w:rFonts w:ascii="Times New Roman" w:hAnsi="Times New Roman"/>
          <w:szCs w:val="24"/>
        </w:rPr>
      </w:r>
    </w:p>
    <w:p>
      <w:pPr>
        <w:pStyle w:val="23"/>
        <w:spacing w:lineRule="auto" w:line="240"/>
        <w:ind w:firstLine="709"/>
        <w:rPr>
          <w:rFonts w:ascii="Times New Roman" w:hAnsi="Times New Roman"/>
          <w:szCs w:val="24"/>
        </w:rPr>
      </w:pPr>
      <w:r>
        <w:rPr>
          <w:rFonts w:ascii="Times New Roman" w:hAnsi="Times New Roman"/>
          <w:szCs w:val="24"/>
        </w:rPr>
        <w:t xml:space="preserve">14. Если после признания объекта основных средств (формирования первоначальной стоимости объекта основных средств) в его балансовую стоимость включаются затраты на замену части объекта, то остаточная стоимость замененной (выбывшей) части объекта основных средств должна быть отнесена на финансовый результат текущего периода (списана с бухгалтерского учета) вне зависимости от того, амортизировалась ли эта часть объекта основных средств отдельно или нет. В случае, когда определить остаточную стоимость замененной части объекта основных средств не представляется возможным, величина относимой на финансовый результат текущего периода остаточной стоимости, замененной (выбывшей) части объекта основных средств может быть эквивалентна затратам на ее замену (приобретения или строительства) на момент их признания (п. 50 Приказа 257н). </w:t>
      </w:r>
    </w:p>
    <w:p>
      <w:pPr>
        <w:pStyle w:val="23"/>
        <w:spacing w:lineRule="auto" w:line="240"/>
        <w:ind w:firstLine="709"/>
        <w:rPr>
          <w:rFonts w:ascii="Times New Roman" w:hAnsi="Times New Roman"/>
          <w:szCs w:val="24"/>
        </w:rPr>
      </w:pPr>
      <w:r>
        <w:rPr>
          <w:rFonts w:ascii="Times New Roman" w:hAnsi="Times New Roman"/>
          <w:szCs w:val="24"/>
        </w:rPr>
      </w:r>
    </w:p>
    <w:p>
      <w:pPr>
        <w:pStyle w:val="23"/>
        <w:spacing w:lineRule="auto" w:line="240"/>
        <w:ind w:firstLine="709"/>
        <w:jc w:val="center"/>
        <w:rPr>
          <w:rFonts w:ascii="Times New Roman" w:hAnsi="Times New Roman"/>
          <w:b/>
          <w:b/>
          <w:szCs w:val="24"/>
        </w:rPr>
      </w:pPr>
      <w:r>
        <w:rPr>
          <w:rFonts w:ascii="Times New Roman" w:hAnsi="Times New Roman"/>
          <w:b/>
          <w:szCs w:val="24"/>
        </w:rPr>
      </w:r>
    </w:p>
    <w:p>
      <w:pPr>
        <w:pStyle w:val="23"/>
        <w:spacing w:lineRule="auto" w:line="240"/>
        <w:ind w:firstLine="709"/>
        <w:jc w:val="center"/>
        <w:rPr>
          <w:rFonts w:ascii="Times New Roman" w:hAnsi="Times New Roman"/>
          <w:b/>
          <w:b/>
          <w:szCs w:val="24"/>
        </w:rPr>
      </w:pPr>
      <w:r>
        <w:rPr>
          <w:rFonts w:ascii="Times New Roman" w:hAnsi="Times New Roman"/>
          <w:b/>
          <w:szCs w:val="24"/>
        </w:rPr>
      </w:r>
    </w:p>
    <w:p>
      <w:pPr>
        <w:pStyle w:val="23"/>
        <w:spacing w:lineRule="auto" w:line="240"/>
        <w:ind w:firstLine="709"/>
        <w:jc w:val="center"/>
        <w:rPr>
          <w:rFonts w:ascii="Times New Roman" w:hAnsi="Times New Roman"/>
          <w:b/>
          <w:b/>
          <w:szCs w:val="24"/>
        </w:rPr>
      </w:pPr>
      <w:r>
        <w:rPr>
          <w:rFonts w:ascii="Times New Roman" w:hAnsi="Times New Roman"/>
          <w:b/>
          <w:szCs w:val="24"/>
        </w:rPr>
      </w:r>
    </w:p>
    <w:p>
      <w:pPr>
        <w:pStyle w:val="23"/>
        <w:spacing w:lineRule="auto" w:line="240"/>
        <w:ind w:firstLine="709"/>
        <w:jc w:val="center"/>
        <w:rPr>
          <w:rFonts w:ascii="Times New Roman" w:hAnsi="Times New Roman"/>
          <w:b/>
          <w:b/>
          <w:szCs w:val="24"/>
        </w:rPr>
      </w:pPr>
      <w:r>
        <w:rPr>
          <w:rFonts w:ascii="Times New Roman" w:hAnsi="Times New Roman"/>
          <w:b/>
          <w:szCs w:val="24"/>
        </w:rPr>
      </w:r>
    </w:p>
    <w:p>
      <w:pPr>
        <w:pStyle w:val="23"/>
        <w:spacing w:lineRule="auto" w:line="240"/>
        <w:ind w:firstLine="709"/>
        <w:jc w:val="center"/>
        <w:rPr>
          <w:rFonts w:ascii="Times New Roman" w:hAnsi="Times New Roman"/>
          <w:b/>
          <w:b/>
          <w:szCs w:val="24"/>
        </w:rPr>
      </w:pPr>
      <w:r>
        <w:rPr>
          <w:rFonts w:ascii="Times New Roman" w:hAnsi="Times New Roman"/>
          <w:b/>
          <w:szCs w:val="24"/>
        </w:rPr>
      </w:r>
    </w:p>
    <w:p>
      <w:pPr>
        <w:pStyle w:val="23"/>
        <w:spacing w:lineRule="auto" w:line="240"/>
        <w:ind w:firstLine="709"/>
        <w:jc w:val="center"/>
        <w:rPr>
          <w:rFonts w:ascii="Times New Roman" w:hAnsi="Times New Roman"/>
          <w:b/>
          <w:b/>
          <w:szCs w:val="24"/>
        </w:rPr>
      </w:pPr>
      <w:r>
        <w:rPr>
          <w:rFonts w:ascii="Times New Roman" w:hAnsi="Times New Roman"/>
          <w:b/>
          <w:szCs w:val="24"/>
        </w:rPr>
      </w:r>
    </w:p>
    <w:p>
      <w:pPr>
        <w:pStyle w:val="23"/>
        <w:spacing w:lineRule="auto" w:line="240"/>
        <w:ind w:firstLine="709"/>
        <w:jc w:val="center"/>
        <w:rPr>
          <w:rFonts w:ascii="Times New Roman" w:hAnsi="Times New Roman"/>
          <w:b/>
          <w:b/>
          <w:szCs w:val="24"/>
        </w:rPr>
      </w:pPr>
      <w:r>
        <w:rPr>
          <w:rFonts w:ascii="Times New Roman" w:hAnsi="Times New Roman"/>
          <w:b/>
          <w:szCs w:val="24"/>
        </w:rPr>
      </w:r>
    </w:p>
    <w:p>
      <w:pPr>
        <w:pStyle w:val="23"/>
        <w:spacing w:lineRule="auto" w:line="240"/>
        <w:ind w:firstLine="709"/>
        <w:jc w:val="center"/>
        <w:rPr>
          <w:rFonts w:ascii="Times New Roman" w:hAnsi="Times New Roman"/>
          <w:b/>
          <w:b/>
          <w:szCs w:val="24"/>
        </w:rPr>
      </w:pPr>
      <w:r>
        <w:rPr>
          <w:rFonts w:ascii="Times New Roman" w:hAnsi="Times New Roman"/>
          <w:b/>
          <w:szCs w:val="24"/>
        </w:rPr>
      </w:r>
    </w:p>
    <w:p>
      <w:pPr>
        <w:pStyle w:val="23"/>
        <w:spacing w:lineRule="auto" w:line="240"/>
        <w:ind w:firstLine="709"/>
        <w:jc w:val="center"/>
        <w:rPr>
          <w:rFonts w:ascii="Times New Roman" w:hAnsi="Times New Roman"/>
          <w:b/>
          <w:b/>
          <w:szCs w:val="24"/>
        </w:rPr>
      </w:pPr>
      <w:r>
        <w:rPr>
          <w:rFonts w:ascii="Times New Roman" w:hAnsi="Times New Roman"/>
          <w:b/>
          <w:szCs w:val="24"/>
        </w:rPr>
        <w:t>Порядок принятия решения о списании активов (основных средств)</w:t>
      </w:r>
    </w:p>
    <w:p>
      <w:pPr>
        <w:pStyle w:val="23"/>
        <w:spacing w:lineRule="auto" w:line="240"/>
        <w:ind w:firstLine="709"/>
        <w:rPr>
          <w:rFonts w:ascii="Times New Roman" w:hAnsi="Times New Roman"/>
          <w:szCs w:val="24"/>
        </w:rPr>
      </w:pPr>
      <w:r>
        <w:rPr>
          <w:rFonts w:ascii="Times New Roman" w:hAnsi="Times New Roman"/>
          <w:b/>
          <w:szCs w:val="24"/>
        </w:rPr>
        <w:t xml:space="preserve"> </w:t>
      </w:r>
    </w:p>
    <w:p>
      <w:pPr>
        <w:pStyle w:val="23"/>
        <w:spacing w:lineRule="auto" w:line="240"/>
        <w:ind w:firstLine="709"/>
        <w:rPr>
          <w:rFonts w:ascii="Times New Roman" w:hAnsi="Times New Roman"/>
          <w:szCs w:val="24"/>
        </w:rPr>
      </w:pPr>
      <w:r>
        <w:rPr>
          <w:rFonts w:ascii="Times New Roman" w:hAnsi="Times New Roman"/>
          <w:szCs w:val="24"/>
        </w:rPr>
        <w:t xml:space="preserve">15. Выбытие объектов нефинансовых активов оформляется по основаниям, определенным решением Комиссии. При этом 100% амортизация объекта не является основанием для их выбытия. </w:t>
      </w:r>
    </w:p>
    <w:p>
      <w:pPr>
        <w:pStyle w:val="23"/>
        <w:spacing w:lineRule="auto" w:line="240"/>
        <w:ind w:firstLine="709"/>
        <w:rPr>
          <w:rFonts w:ascii="Times New Roman" w:hAnsi="Times New Roman"/>
          <w:szCs w:val="24"/>
        </w:rPr>
      </w:pPr>
      <w:r>
        <w:rPr>
          <w:rFonts w:ascii="Times New Roman" w:hAnsi="Times New Roman"/>
          <w:szCs w:val="24"/>
        </w:rPr>
        <w:t>16. Выбытие объекта основных средств производится при прекращении получения экономических выгод или полезного потенциала от дальнейшего использования:</w:t>
      </w:r>
    </w:p>
    <w:p>
      <w:pPr>
        <w:pStyle w:val="23"/>
        <w:numPr>
          <w:ilvl w:val="0"/>
          <w:numId w:val="41"/>
        </w:numPr>
        <w:spacing w:lineRule="auto" w:line="240"/>
        <w:ind w:left="0" w:firstLine="709"/>
        <w:rPr>
          <w:rFonts w:ascii="Times New Roman" w:hAnsi="Times New Roman"/>
          <w:szCs w:val="24"/>
        </w:rPr>
      </w:pPr>
      <w:r>
        <w:rPr>
          <w:rFonts w:ascii="Times New Roman" w:hAnsi="Times New Roman"/>
          <w:szCs w:val="24"/>
        </w:rPr>
        <w:t>в случае поломки при невозможности или экономической нецелесообразности ремонта объекта</w:t>
      </w:r>
    </w:p>
    <w:p>
      <w:pPr>
        <w:pStyle w:val="23"/>
        <w:numPr>
          <w:ilvl w:val="0"/>
          <w:numId w:val="41"/>
        </w:numPr>
        <w:spacing w:lineRule="auto" w:line="240"/>
        <w:ind w:left="0" w:firstLine="709"/>
        <w:rPr>
          <w:rFonts w:ascii="Times New Roman" w:hAnsi="Times New Roman"/>
          <w:szCs w:val="24"/>
        </w:rPr>
      </w:pPr>
      <w:r>
        <w:rPr>
          <w:rFonts w:ascii="Times New Roman" w:hAnsi="Times New Roman"/>
          <w:szCs w:val="24"/>
        </w:rPr>
        <w:t xml:space="preserve">по причине полного физического или морального износа </w:t>
      </w:r>
    </w:p>
    <w:p>
      <w:pPr>
        <w:pStyle w:val="23"/>
        <w:numPr>
          <w:ilvl w:val="0"/>
          <w:numId w:val="41"/>
        </w:numPr>
        <w:spacing w:lineRule="auto" w:line="240"/>
        <w:ind w:left="0" w:firstLine="709"/>
        <w:rPr>
          <w:rFonts w:ascii="Times New Roman" w:hAnsi="Times New Roman"/>
          <w:szCs w:val="24"/>
        </w:rPr>
      </w:pPr>
      <w:r>
        <w:rPr>
          <w:rFonts w:ascii="Times New Roman" w:hAnsi="Times New Roman"/>
          <w:szCs w:val="24"/>
        </w:rPr>
        <w:t xml:space="preserve">в иных случаях, обоснованных в решении Комиссии о списании </w:t>
      </w:r>
    </w:p>
    <w:p>
      <w:pPr>
        <w:pStyle w:val="23"/>
        <w:spacing w:lineRule="auto" w:line="240"/>
        <w:ind w:firstLine="709"/>
        <w:rPr>
          <w:rFonts w:ascii="Times New Roman" w:hAnsi="Times New Roman"/>
          <w:szCs w:val="24"/>
        </w:rPr>
      </w:pPr>
      <w:r>
        <w:rPr>
          <w:rFonts w:ascii="Times New Roman" w:hAnsi="Times New Roman"/>
          <w:szCs w:val="24"/>
        </w:rPr>
        <w:t xml:space="preserve">17. При списании: </w:t>
      </w:r>
    </w:p>
    <w:p>
      <w:pPr>
        <w:pStyle w:val="23"/>
        <w:numPr>
          <w:ilvl w:val="0"/>
          <w:numId w:val="42"/>
        </w:numPr>
        <w:spacing w:lineRule="auto" w:line="240"/>
        <w:ind w:left="0" w:firstLine="709"/>
        <w:rPr>
          <w:rFonts w:ascii="Times New Roman" w:hAnsi="Times New Roman"/>
          <w:szCs w:val="24"/>
        </w:rPr>
      </w:pPr>
      <w:r>
        <w:rPr>
          <w:rFonts w:ascii="Times New Roman" w:hAnsi="Times New Roman"/>
          <w:szCs w:val="24"/>
        </w:rPr>
        <w:t>Объектов, пришедших в негодное состояние в результате аварий, пожаров, стихийных бедствий и иных чрезвычайных ситуациях, к документу о списании прилагаются документы, подтверждающие вышеуказанные обстоятельства (копии актов соответствующих учреждений)</w:t>
      </w:r>
    </w:p>
    <w:p>
      <w:pPr>
        <w:pStyle w:val="23"/>
        <w:numPr>
          <w:ilvl w:val="0"/>
          <w:numId w:val="42"/>
        </w:numPr>
        <w:spacing w:lineRule="auto" w:line="240"/>
        <w:ind w:left="0" w:firstLine="709"/>
        <w:rPr>
          <w:rFonts w:ascii="Times New Roman" w:hAnsi="Times New Roman"/>
          <w:szCs w:val="24"/>
        </w:rPr>
      </w:pPr>
      <w:r>
        <w:rPr>
          <w:rFonts w:ascii="Times New Roman" w:hAnsi="Times New Roman"/>
          <w:szCs w:val="24"/>
        </w:rPr>
        <w:t>Мебели и иных объектов хозяйственного и мягкого инвентаря – решение о списании принимается Комиссией только после личного осмотра и получения заключения профильного сотрудника учреждения о невозможности ремонта указанного имущества</w:t>
      </w:r>
    </w:p>
    <w:p>
      <w:pPr>
        <w:pStyle w:val="23"/>
        <w:numPr>
          <w:ilvl w:val="0"/>
          <w:numId w:val="42"/>
        </w:numPr>
        <w:spacing w:lineRule="auto" w:line="240"/>
        <w:ind w:left="0" w:firstLine="709"/>
        <w:rPr>
          <w:rFonts w:ascii="Times New Roman" w:hAnsi="Times New Roman"/>
          <w:szCs w:val="24"/>
        </w:rPr>
      </w:pPr>
      <w:r>
        <w:rPr>
          <w:rFonts w:ascii="Times New Roman" w:hAnsi="Times New Roman"/>
          <w:szCs w:val="24"/>
        </w:rPr>
        <w:t>Мелкой бытовой техники и электроники  – решение о списании принимается после получения заключения профильного сотрудника учреждения о невозможности ремонта указанного имущества. А при отсутствии в штате Учреждения профильного сотрудника – после получения технического заключения мастерских по ремонту бытовой техники или дефектной ведомости о невозможности восстановления</w:t>
      </w:r>
    </w:p>
    <w:p>
      <w:pPr>
        <w:pStyle w:val="23"/>
        <w:numPr>
          <w:ilvl w:val="0"/>
          <w:numId w:val="42"/>
        </w:numPr>
        <w:spacing w:lineRule="auto" w:line="240"/>
        <w:ind w:left="0" w:firstLine="709"/>
        <w:rPr>
          <w:rFonts w:ascii="Times New Roman" w:hAnsi="Times New Roman"/>
          <w:szCs w:val="24"/>
        </w:rPr>
      </w:pPr>
      <w:r>
        <w:rPr>
          <w:rFonts w:ascii="Times New Roman" w:hAnsi="Times New Roman"/>
          <w:szCs w:val="24"/>
        </w:rPr>
        <w:t>Крупной бытовой техники и дорогостоящей электроники  - к документу о списании объекта прилагается техническое заключение мастерских по ремонту бытовой техники или дефектная ведомость о невозможности восстановления</w:t>
      </w:r>
    </w:p>
    <w:p>
      <w:pPr>
        <w:pStyle w:val="23"/>
        <w:spacing w:lineRule="auto" w:line="240"/>
        <w:ind w:firstLine="709"/>
        <w:rPr>
          <w:rFonts w:ascii="Times New Roman" w:hAnsi="Times New Roman"/>
          <w:szCs w:val="24"/>
        </w:rPr>
      </w:pPr>
      <w:r>
        <w:rPr>
          <w:rFonts w:ascii="Times New Roman" w:hAnsi="Times New Roman"/>
          <w:szCs w:val="24"/>
        </w:rPr>
        <w:t xml:space="preserve">18. В случае необходимости согласования факта распоряжения имуществом с учредителем (собственником) имущества, Комиссия подготавливает соответствующие документы для направления учредителю (собственнику) имущества. </w:t>
      </w:r>
    </w:p>
    <w:p>
      <w:pPr>
        <w:pStyle w:val="23"/>
        <w:spacing w:lineRule="auto" w:line="240"/>
        <w:ind w:firstLine="709"/>
        <w:rPr>
          <w:rFonts w:ascii="Times New Roman" w:hAnsi="Times New Roman"/>
          <w:szCs w:val="24"/>
        </w:rPr>
      </w:pPr>
      <w:r>
        <w:rPr>
          <w:rFonts w:ascii="Times New Roman" w:hAnsi="Times New Roman"/>
          <w:szCs w:val="24"/>
        </w:rPr>
        <w:t xml:space="preserve">19. Ответственность за формирование Комиссии несет руководитель учреждения. </w:t>
      </w:r>
    </w:p>
    <w:p>
      <w:pPr>
        <w:pStyle w:val="23"/>
        <w:spacing w:lineRule="auto" w:line="240"/>
        <w:ind w:firstLine="709"/>
        <w:rPr>
          <w:rFonts w:ascii="Times New Roman" w:hAnsi="Times New Roman"/>
          <w:szCs w:val="24"/>
        </w:rPr>
      </w:pPr>
      <w:r>
        <w:rPr>
          <w:rFonts w:ascii="Times New Roman" w:hAnsi="Times New Roman"/>
          <w:szCs w:val="24"/>
        </w:rPr>
        <w:t>20. Ответственность за определения справедливой (оценочной) стоимости и срока полезного использования согласно несут члены Комиссии.</w:t>
      </w:r>
    </w:p>
    <w:p>
      <w:pPr>
        <w:pStyle w:val="Normal"/>
        <w:spacing w:lineRule="auto" w:line="240" w:before="0" w:after="0"/>
        <w:ind w:firstLine="709"/>
        <w:jc w:val="center"/>
        <w:rPr>
          <w:rFonts w:ascii="Times New Roman" w:hAnsi="Times New Roman"/>
          <w:sz w:val="24"/>
          <w:szCs w:val="24"/>
        </w:rPr>
      </w:pPr>
      <w:r>
        <w:rPr>
          <w:rFonts w:ascii="Times New Roman" w:hAnsi="Times New Roman"/>
          <w:sz w:val="24"/>
          <w:szCs w:val="24"/>
        </w:rPr>
      </w:r>
    </w:p>
    <w:p>
      <w:pPr>
        <w:pStyle w:val="Normal"/>
        <w:spacing w:lineRule="auto" w:line="240" w:before="0" w:after="0"/>
        <w:ind w:firstLine="709"/>
        <w:jc w:val="center"/>
        <w:rPr>
          <w:rFonts w:ascii="Times New Roman" w:hAnsi="Times New Roman"/>
          <w:sz w:val="24"/>
          <w:szCs w:val="24"/>
        </w:rPr>
      </w:pPr>
      <w:r>
        <w:rPr>
          <w:rFonts w:ascii="Times New Roman" w:hAnsi="Times New Roman"/>
          <w:sz w:val="24"/>
          <w:szCs w:val="24"/>
        </w:rPr>
      </w:r>
    </w:p>
    <w:p>
      <w:pPr>
        <w:pStyle w:val="Normal"/>
        <w:spacing w:lineRule="auto" w:line="240" w:before="0" w:after="0"/>
        <w:ind w:firstLine="709"/>
        <w:jc w:val="center"/>
        <w:rPr>
          <w:rFonts w:ascii="Times New Roman" w:hAnsi="Times New Roman"/>
          <w:sz w:val="24"/>
          <w:szCs w:val="24"/>
        </w:rPr>
      </w:pPr>
      <w:r>
        <w:rPr>
          <w:rFonts w:ascii="Times New Roman" w:hAnsi="Times New Roman"/>
          <w:sz w:val="24"/>
          <w:szCs w:val="24"/>
        </w:rPr>
      </w:r>
    </w:p>
    <w:p>
      <w:pPr>
        <w:pStyle w:val="Normal"/>
        <w:spacing w:lineRule="auto" w:line="240" w:before="0" w:after="0"/>
        <w:ind w:firstLine="709"/>
        <w:jc w:val="center"/>
        <w:rPr>
          <w:rFonts w:ascii="Times New Roman" w:hAnsi="Times New Roman"/>
          <w:sz w:val="24"/>
          <w:szCs w:val="24"/>
        </w:rPr>
      </w:pPr>
      <w:r>
        <w:rPr>
          <w:rFonts w:ascii="Times New Roman" w:hAnsi="Times New Roman"/>
          <w:sz w:val="24"/>
          <w:szCs w:val="24"/>
        </w:rPr>
      </w:r>
    </w:p>
    <w:p>
      <w:pPr>
        <w:pStyle w:val="Normal"/>
        <w:spacing w:lineRule="auto" w:line="240" w:before="0" w:after="0"/>
        <w:ind w:firstLine="709"/>
        <w:jc w:val="center"/>
        <w:rPr>
          <w:rFonts w:ascii="Times New Roman" w:hAnsi="Times New Roman"/>
          <w:sz w:val="24"/>
          <w:szCs w:val="24"/>
        </w:rPr>
      </w:pPr>
      <w:r>
        <w:rPr>
          <w:rFonts w:ascii="Times New Roman" w:hAnsi="Times New Roman"/>
          <w:sz w:val="24"/>
          <w:szCs w:val="24"/>
        </w:rPr>
      </w:r>
    </w:p>
    <w:p>
      <w:pPr>
        <w:pStyle w:val="Normal"/>
        <w:spacing w:lineRule="auto" w:line="240" w:before="0" w:after="0"/>
        <w:ind w:firstLine="709"/>
        <w:jc w:val="center"/>
        <w:rPr>
          <w:rFonts w:ascii="Times New Roman" w:hAnsi="Times New Roman"/>
          <w:sz w:val="24"/>
          <w:szCs w:val="24"/>
        </w:rPr>
      </w:pPr>
      <w:r>
        <w:rPr>
          <w:rFonts w:ascii="Times New Roman" w:hAnsi="Times New Roman"/>
          <w:sz w:val="24"/>
          <w:szCs w:val="24"/>
        </w:rPr>
      </w:r>
    </w:p>
    <w:p>
      <w:pPr>
        <w:pStyle w:val="Normal"/>
        <w:spacing w:lineRule="auto" w:line="240" w:before="0" w:after="0"/>
        <w:ind w:firstLine="709"/>
        <w:jc w:val="center"/>
        <w:rPr>
          <w:rFonts w:ascii="Times New Roman" w:hAnsi="Times New Roman"/>
          <w:sz w:val="24"/>
          <w:szCs w:val="24"/>
        </w:rPr>
      </w:pPr>
      <w:r>
        <w:rPr>
          <w:rFonts w:ascii="Times New Roman" w:hAnsi="Times New Roman"/>
          <w:sz w:val="24"/>
          <w:szCs w:val="24"/>
        </w:rPr>
      </w:r>
    </w:p>
    <w:p>
      <w:pPr>
        <w:pStyle w:val="Normal"/>
        <w:spacing w:lineRule="auto" w:line="240" w:before="0" w:after="0"/>
        <w:ind w:firstLine="709"/>
        <w:jc w:val="center"/>
        <w:rPr>
          <w:rFonts w:ascii="Times New Roman" w:hAnsi="Times New Roman"/>
          <w:sz w:val="24"/>
          <w:szCs w:val="24"/>
        </w:rPr>
      </w:pPr>
      <w:r>
        <w:rPr>
          <w:rFonts w:ascii="Times New Roman" w:hAnsi="Times New Roman"/>
          <w:sz w:val="24"/>
          <w:szCs w:val="24"/>
        </w:rPr>
      </w:r>
    </w:p>
    <w:p>
      <w:pPr>
        <w:pStyle w:val="Normal"/>
        <w:spacing w:lineRule="auto" w:line="240" w:before="0" w:after="0"/>
        <w:ind w:firstLine="709"/>
        <w:jc w:val="center"/>
        <w:rPr>
          <w:rFonts w:ascii="Times New Roman" w:hAnsi="Times New Roman"/>
          <w:sz w:val="24"/>
          <w:szCs w:val="24"/>
        </w:rPr>
      </w:pPr>
      <w:r>
        <w:rPr>
          <w:rFonts w:ascii="Times New Roman" w:hAnsi="Times New Roman"/>
          <w:sz w:val="24"/>
          <w:szCs w:val="24"/>
        </w:rPr>
      </w:r>
    </w:p>
    <w:p>
      <w:pPr>
        <w:pStyle w:val="Normal"/>
        <w:spacing w:lineRule="auto" w:line="240" w:before="0" w:after="0"/>
        <w:ind w:firstLine="709"/>
        <w:jc w:val="center"/>
        <w:rPr>
          <w:rFonts w:ascii="Times New Roman" w:hAnsi="Times New Roman"/>
          <w:sz w:val="24"/>
          <w:szCs w:val="24"/>
        </w:rPr>
      </w:pPr>
      <w:r>
        <w:rPr>
          <w:rFonts w:ascii="Times New Roman" w:hAnsi="Times New Roman"/>
          <w:sz w:val="24"/>
          <w:szCs w:val="24"/>
        </w:rPr>
      </w:r>
    </w:p>
    <w:p>
      <w:pPr>
        <w:pStyle w:val="Normal"/>
        <w:spacing w:lineRule="auto" w:line="240" w:before="0" w:after="0"/>
        <w:ind w:firstLine="709"/>
        <w:jc w:val="center"/>
        <w:rPr>
          <w:rFonts w:ascii="Times New Roman" w:hAnsi="Times New Roman"/>
          <w:sz w:val="24"/>
          <w:szCs w:val="24"/>
        </w:rPr>
      </w:pPr>
      <w:r>
        <w:rPr>
          <w:rFonts w:ascii="Times New Roman" w:hAnsi="Times New Roman"/>
          <w:sz w:val="24"/>
          <w:szCs w:val="24"/>
        </w:rPr>
      </w:r>
    </w:p>
    <w:p>
      <w:pPr>
        <w:pStyle w:val="Normal"/>
        <w:spacing w:lineRule="auto" w:line="240" w:before="0" w:after="0"/>
        <w:ind w:firstLine="709"/>
        <w:jc w:val="center"/>
        <w:rPr>
          <w:rFonts w:ascii="Times New Roman" w:hAnsi="Times New Roman"/>
          <w:sz w:val="24"/>
          <w:szCs w:val="24"/>
        </w:rPr>
      </w:pPr>
      <w:r>
        <w:rPr>
          <w:rFonts w:ascii="Times New Roman" w:hAnsi="Times New Roman"/>
          <w:sz w:val="24"/>
          <w:szCs w:val="24"/>
        </w:rPr>
      </w:r>
    </w:p>
    <w:p>
      <w:pPr>
        <w:pStyle w:val="Normal"/>
        <w:spacing w:lineRule="auto" w:line="240" w:before="0" w:after="0"/>
        <w:ind w:firstLine="709"/>
        <w:jc w:val="center"/>
        <w:rPr>
          <w:rFonts w:ascii="Times New Roman" w:hAnsi="Times New Roman"/>
          <w:sz w:val="24"/>
          <w:szCs w:val="24"/>
        </w:rPr>
      </w:pPr>
      <w:r>
        <w:rPr>
          <w:rFonts w:ascii="Times New Roman" w:hAnsi="Times New Roman"/>
          <w:sz w:val="24"/>
          <w:szCs w:val="24"/>
        </w:rPr>
      </w:r>
    </w:p>
    <w:p>
      <w:pPr>
        <w:pStyle w:val="Normal"/>
        <w:spacing w:lineRule="auto" w:line="240" w:before="0" w:after="0"/>
        <w:ind w:firstLine="709"/>
        <w:jc w:val="center"/>
        <w:rPr>
          <w:rFonts w:ascii="Times New Roman" w:hAnsi="Times New Roman"/>
          <w:sz w:val="24"/>
          <w:szCs w:val="24"/>
        </w:rPr>
      </w:pPr>
      <w:r>
        <w:rPr>
          <w:rFonts w:ascii="Times New Roman" w:hAnsi="Times New Roman"/>
          <w:sz w:val="24"/>
          <w:szCs w:val="24"/>
        </w:rPr>
      </w:r>
    </w:p>
    <w:p>
      <w:pPr>
        <w:pStyle w:val="Normal"/>
        <w:spacing w:lineRule="auto" w:line="240" w:before="0" w:after="0"/>
        <w:ind w:firstLine="709"/>
        <w:jc w:val="center"/>
        <w:rPr>
          <w:rFonts w:ascii="Times New Roman" w:hAnsi="Times New Roman"/>
          <w:sz w:val="24"/>
          <w:szCs w:val="24"/>
        </w:rPr>
      </w:pPr>
      <w:r>
        <w:rPr>
          <w:rFonts w:ascii="Times New Roman" w:hAnsi="Times New Roman"/>
          <w:sz w:val="24"/>
          <w:szCs w:val="24"/>
        </w:rPr>
      </w:r>
    </w:p>
    <w:p>
      <w:pPr>
        <w:pStyle w:val="Normal"/>
        <w:spacing w:lineRule="auto" w:line="240" w:before="0" w:after="0"/>
        <w:ind w:firstLine="709"/>
        <w:jc w:val="center"/>
        <w:rPr>
          <w:rFonts w:ascii="Times New Roman" w:hAnsi="Times New Roman"/>
          <w:sz w:val="24"/>
          <w:szCs w:val="24"/>
        </w:rPr>
      </w:pPr>
      <w:r>
        <w:rPr>
          <w:rFonts w:ascii="Times New Roman" w:hAnsi="Times New Roman"/>
          <w:sz w:val="24"/>
          <w:szCs w:val="24"/>
        </w:rPr>
      </w:r>
    </w:p>
    <w:p>
      <w:pPr>
        <w:pStyle w:val="Normal"/>
        <w:spacing w:lineRule="auto" w:line="240" w:before="0" w:after="0"/>
        <w:ind w:firstLine="709"/>
        <w:jc w:val="center"/>
        <w:rPr>
          <w:rFonts w:ascii="Times New Roman" w:hAnsi="Times New Roman"/>
          <w:sz w:val="24"/>
          <w:szCs w:val="24"/>
        </w:rPr>
      </w:pPr>
      <w:r>
        <w:rPr>
          <w:rFonts w:ascii="Times New Roman" w:hAnsi="Times New Roman"/>
          <w:sz w:val="24"/>
          <w:szCs w:val="24"/>
        </w:rPr>
      </w:r>
    </w:p>
    <w:p>
      <w:pPr>
        <w:pStyle w:val="1"/>
        <w:spacing w:before="0" w:after="0"/>
        <w:ind w:firstLine="709"/>
        <w:jc w:val="right"/>
        <w:rPr>
          <w:rFonts w:ascii="Times New Roman" w:hAnsi="Times New Roman"/>
          <w:b w:val="false"/>
          <w:b w:val="false"/>
          <w:sz w:val="24"/>
          <w:szCs w:val="24"/>
        </w:rPr>
      </w:pPr>
      <w:r>
        <w:rPr>
          <w:rFonts w:ascii="Times New Roman" w:hAnsi="Times New Roman"/>
          <w:b w:val="false"/>
          <w:sz w:val="24"/>
          <w:szCs w:val="24"/>
        </w:rPr>
      </w:r>
    </w:p>
    <w:p>
      <w:pPr>
        <w:pStyle w:val="1"/>
        <w:spacing w:before="0" w:after="0"/>
        <w:ind w:firstLine="709"/>
        <w:jc w:val="right"/>
        <w:rPr>
          <w:rFonts w:ascii="Times New Roman" w:hAnsi="Times New Roman"/>
          <w:b w:val="false"/>
          <w:b w:val="false"/>
          <w:sz w:val="24"/>
          <w:szCs w:val="24"/>
        </w:rPr>
      </w:pPr>
      <w:r>
        <w:rPr>
          <w:rFonts w:ascii="Times New Roman" w:hAnsi="Times New Roman"/>
          <w:b w:val="false"/>
          <w:sz w:val="24"/>
          <w:szCs w:val="24"/>
        </w:rPr>
      </w:r>
    </w:p>
    <w:p>
      <w:pPr>
        <w:pStyle w:val="1"/>
        <w:spacing w:before="0" w:after="0"/>
        <w:ind w:firstLine="709"/>
        <w:jc w:val="right"/>
        <w:rPr>
          <w:rFonts w:ascii="Times New Roman" w:hAnsi="Times New Roman"/>
          <w:b w:val="false"/>
          <w:b w:val="false"/>
          <w:sz w:val="24"/>
          <w:szCs w:val="24"/>
        </w:rPr>
      </w:pPr>
      <w:r>
        <w:rPr>
          <w:rFonts w:ascii="Times New Roman" w:hAnsi="Times New Roman"/>
          <w:b w:val="false"/>
          <w:sz w:val="24"/>
          <w:szCs w:val="24"/>
        </w:rPr>
      </w:r>
    </w:p>
    <w:p>
      <w:pPr>
        <w:pStyle w:val="1"/>
        <w:spacing w:before="0" w:after="0"/>
        <w:ind w:firstLine="709"/>
        <w:jc w:val="right"/>
        <w:rPr>
          <w:rFonts w:ascii="Times New Roman" w:hAnsi="Times New Roman"/>
          <w:b w:val="false"/>
          <w:b w:val="false"/>
          <w:sz w:val="24"/>
          <w:szCs w:val="24"/>
        </w:rPr>
      </w:pPr>
      <w:r>
        <w:rPr>
          <w:rFonts w:ascii="Times New Roman" w:hAnsi="Times New Roman"/>
          <w:b w:val="false"/>
          <w:sz w:val="24"/>
          <w:szCs w:val="24"/>
        </w:rPr>
        <w:t>Приложение № 7</w:t>
      </w:r>
    </w:p>
    <w:p>
      <w:pPr>
        <w:pStyle w:val="Normal"/>
        <w:spacing w:lineRule="auto" w:line="240" w:before="0" w:after="0"/>
        <w:ind w:firstLine="709"/>
        <w:jc w:val="right"/>
        <w:rPr>
          <w:rFonts w:ascii="Times New Roman" w:hAnsi="Times New Roman"/>
          <w:sz w:val="24"/>
          <w:szCs w:val="24"/>
        </w:rPr>
      </w:pPr>
      <w:r>
        <w:rPr>
          <w:rFonts w:ascii="Times New Roman" w:hAnsi="Times New Roman"/>
          <w:sz w:val="24"/>
          <w:szCs w:val="24"/>
        </w:rPr>
        <w:t>к Учетной политике от 11.01.2021г.</w:t>
      </w:r>
    </w:p>
    <w:p>
      <w:pPr>
        <w:pStyle w:val="Normal"/>
        <w:spacing w:lineRule="auto" w:line="240" w:before="0" w:after="0"/>
        <w:ind w:firstLine="709"/>
        <w:jc w:val="right"/>
        <w:rPr>
          <w:rFonts w:ascii="Times New Roman" w:hAnsi="Times New Roman"/>
          <w:sz w:val="24"/>
          <w:szCs w:val="24"/>
        </w:rPr>
      </w:pPr>
      <w:r>
        <w:rPr>
          <w:rFonts w:ascii="Times New Roman" w:hAnsi="Times New Roman"/>
          <w:sz w:val="24"/>
          <w:szCs w:val="24"/>
        </w:rPr>
      </w:r>
    </w:p>
    <w:p>
      <w:pPr>
        <w:pStyle w:val="Normal"/>
        <w:spacing w:lineRule="auto" w:line="240" w:before="0" w:after="0"/>
        <w:ind w:firstLine="709"/>
        <w:jc w:val="center"/>
        <w:rPr>
          <w:rFonts w:ascii="Times New Roman" w:hAnsi="Times New Roman"/>
          <w:b/>
          <w:b/>
          <w:sz w:val="24"/>
          <w:szCs w:val="24"/>
        </w:rPr>
      </w:pPr>
      <w:r>
        <w:rPr>
          <w:rFonts w:ascii="Times New Roman" w:hAnsi="Times New Roman"/>
          <w:b/>
          <w:sz w:val="24"/>
          <w:szCs w:val="24"/>
        </w:rPr>
        <w:t>Перечень документов , на основании которых осуществляется отражение принятых обязательств  и денежных обязательств.</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Муниципальные контракты ( договора) , заключенные в прошлом  и текущем году, не исполненные по состоянию на начало текущего финансового года и подлежащие  исполнению в текущем финансовом году.</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Обязательства по оплате  заработной платы сотрудникам предусмотренные к исполнению  в текущем финансовом году.</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Обязательства по оплате за счет средств соответствующего бюджета  нормативных выплат публичного характера.</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Обязательства по оплате обусловленных законодательством РФ обязательных платежей в бюджеты бюджетной системы РФ ( налогов, сборов, пошлин, взносов, включая обязательства по уплате страховых взносов в государственные внебюджетные фонды) предусмотренные к исполнению в текущем финансовом году.</w:t>
      </w:r>
    </w:p>
    <w:p>
      <w:pPr>
        <w:pStyle w:val="Normal"/>
        <w:spacing w:lineRule="auto" w:line="240" w:before="0" w:after="0"/>
        <w:ind w:firstLine="709"/>
        <w:rPr>
          <w:rFonts w:ascii="Times New Roman" w:hAnsi="Times New Roman"/>
          <w:sz w:val="24"/>
          <w:szCs w:val="24"/>
        </w:rPr>
      </w:pPr>
      <w:r>
        <w:rPr>
          <w:rFonts w:ascii="Times New Roman" w:hAnsi="Times New Roman"/>
          <w:sz w:val="24"/>
          <w:szCs w:val="24"/>
        </w:rPr>
        <w:t>Обязательства по возмещению вреда, причиненного получателем бюджетных средств при осуществлении им деятельности , по иным выплатам, обусловленные вступившими в законную силу решениями суда, предусмотренные к исполнению в текущем финансовом году.</w:t>
      </w:r>
    </w:p>
    <w:p>
      <w:pPr>
        <w:pStyle w:val="Normal"/>
        <w:spacing w:lineRule="auto" w:line="240" w:beforeAutospacing="1" w:afterAutospacing="1"/>
        <w:rPr>
          <w:rFonts w:ascii="Times New Roman" w:hAnsi="Times New Roman"/>
          <w:sz w:val="24"/>
          <w:szCs w:val="24"/>
        </w:rPr>
      </w:pPr>
      <w:r>
        <w:rPr>
          <w:rFonts w:ascii="Times New Roman" w:hAnsi="Times New Roman"/>
          <w:sz w:val="24"/>
          <w:szCs w:val="24"/>
        </w:rPr>
      </w:r>
    </w:p>
    <w:p>
      <w:pPr>
        <w:pStyle w:val="Normal"/>
        <w:spacing w:lineRule="auto" w:line="240" w:beforeAutospacing="1" w:afterAutospacing="1"/>
        <w:rPr>
          <w:rFonts w:ascii="Times New Roman" w:hAnsi="Times New Roman"/>
          <w:sz w:val="24"/>
          <w:szCs w:val="24"/>
        </w:rPr>
      </w:pPr>
      <w:r>
        <w:rPr>
          <w:rFonts w:ascii="Times New Roman" w:hAnsi="Times New Roman"/>
          <w:sz w:val="24"/>
          <w:szCs w:val="24"/>
        </w:rPr>
        <w:t xml:space="preserve">   </w:t>
      </w:r>
    </w:p>
    <w:p>
      <w:pPr>
        <w:pStyle w:val="Normal"/>
        <w:spacing w:lineRule="auto" w:line="240" w:beforeAutospacing="1" w:afterAutospacing="1"/>
        <w:rPr>
          <w:rFonts w:ascii="Times New Roman" w:hAnsi="Times New Roman"/>
          <w:sz w:val="24"/>
          <w:szCs w:val="24"/>
        </w:rPr>
      </w:pPr>
      <w:r>
        <w:rPr>
          <w:rFonts w:ascii="Times New Roman" w:hAnsi="Times New Roman"/>
          <w:sz w:val="24"/>
          <w:szCs w:val="24"/>
        </w:rPr>
      </w:r>
    </w:p>
    <w:p>
      <w:pPr>
        <w:pStyle w:val="Normal"/>
        <w:spacing w:lineRule="auto" w:line="240" w:beforeAutospacing="1" w:afterAutospacing="1"/>
        <w:rPr>
          <w:rFonts w:ascii="Times New Roman" w:hAnsi="Times New Roman"/>
          <w:sz w:val="24"/>
          <w:szCs w:val="24"/>
        </w:rPr>
      </w:pPr>
      <w:r>
        <w:rPr>
          <w:rFonts w:ascii="Times New Roman" w:hAnsi="Times New Roman"/>
          <w:sz w:val="24"/>
          <w:szCs w:val="24"/>
        </w:rPr>
      </w:r>
    </w:p>
    <w:p>
      <w:pPr>
        <w:pStyle w:val="Normal"/>
        <w:spacing w:lineRule="auto" w:line="240" w:beforeAutospacing="1" w:afterAutospacing="1"/>
        <w:rPr>
          <w:rFonts w:ascii="Times New Roman" w:hAnsi="Times New Roman"/>
          <w:sz w:val="24"/>
          <w:szCs w:val="24"/>
        </w:rPr>
      </w:pPr>
      <w:r>
        <w:rPr>
          <w:rFonts w:ascii="Times New Roman" w:hAnsi="Times New Roman"/>
          <w:sz w:val="24"/>
          <w:szCs w:val="24"/>
        </w:rPr>
      </w:r>
    </w:p>
    <w:p>
      <w:pPr>
        <w:pStyle w:val="Normal"/>
        <w:spacing w:lineRule="auto" w:line="240" w:beforeAutospacing="1" w:afterAutospacing="1"/>
        <w:rPr>
          <w:rFonts w:ascii="Times New Roman" w:hAnsi="Times New Roman"/>
          <w:sz w:val="24"/>
          <w:szCs w:val="24"/>
        </w:rPr>
      </w:pPr>
      <w:r>
        <w:rPr>
          <w:rFonts w:ascii="Times New Roman" w:hAnsi="Times New Roman"/>
          <w:sz w:val="24"/>
          <w:szCs w:val="24"/>
        </w:rPr>
      </w:r>
    </w:p>
    <w:p>
      <w:pPr>
        <w:pStyle w:val="Normal"/>
        <w:spacing w:lineRule="auto" w:line="240" w:beforeAutospacing="1" w:afterAutospacing="1"/>
        <w:rPr>
          <w:rFonts w:ascii="Times New Roman" w:hAnsi="Times New Roman"/>
          <w:sz w:val="24"/>
          <w:szCs w:val="24"/>
        </w:rPr>
      </w:pPr>
      <w:r>
        <w:rPr>
          <w:rFonts w:ascii="Times New Roman" w:hAnsi="Times New Roman"/>
          <w:sz w:val="24"/>
          <w:szCs w:val="24"/>
        </w:rPr>
      </w:r>
    </w:p>
    <w:p>
      <w:pPr>
        <w:pStyle w:val="1"/>
        <w:spacing w:before="0" w:after="0"/>
        <w:ind w:hanging="0"/>
        <w:jc w:val="right"/>
        <w:rPr>
          <w:rFonts w:ascii="Times New Roman" w:hAnsi="Times New Roman"/>
          <w:b w:val="false"/>
          <w:b w:val="false"/>
          <w:sz w:val="24"/>
          <w:szCs w:val="24"/>
        </w:rPr>
      </w:pPr>
      <w:r>
        <w:rPr/>
      </w:r>
    </w:p>
    <w:p>
      <w:pPr>
        <w:pStyle w:val="Standard"/>
        <w:spacing w:before="0" w:after="0"/>
        <w:ind w:hanging="0"/>
        <w:jc w:val="right"/>
        <w:rPr>
          <w:rFonts w:ascii="Times New Roman" w:hAnsi="Times New Roman"/>
          <w:b w:val="false"/>
          <w:b w:val="false"/>
          <w:sz w:val="24"/>
          <w:szCs w:val="24"/>
        </w:rPr>
      </w:pPr>
      <w:r>
        <w:rPr/>
      </w:r>
    </w:p>
    <w:p>
      <w:pPr>
        <w:pStyle w:val="Standard"/>
        <w:spacing w:before="0" w:after="0"/>
        <w:ind w:hanging="0"/>
        <w:jc w:val="right"/>
        <w:rPr>
          <w:rFonts w:ascii="Times New Roman" w:hAnsi="Times New Roman"/>
          <w:b w:val="false"/>
          <w:b w:val="false"/>
          <w:sz w:val="24"/>
          <w:szCs w:val="24"/>
        </w:rPr>
      </w:pPr>
      <w:r>
        <w:rPr/>
      </w:r>
    </w:p>
    <w:p>
      <w:pPr>
        <w:pStyle w:val="Standard"/>
        <w:spacing w:before="0" w:after="0"/>
        <w:ind w:hanging="0"/>
        <w:jc w:val="right"/>
        <w:rPr>
          <w:rFonts w:ascii="Times New Roman" w:hAnsi="Times New Roman"/>
          <w:b w:val="false"/>
          <w:b w:val="false"/>
          <w:sz w:val="24"/>
          <w:szCs w:val="24"/>
        </w:rPr>
      </w:pPr>
      <w:r>
        <w:rPr/>
      </w:r>
    </w:p>
    <w:p>
      <w:pPr>
        <w:pStyle w:val="Standard"/>
        <w:spacing w:before="0" w:after="0"/>
        <w:ind w:hanging="0"/>
        <w:jc w:val="right"/>
        <w:rPr>
          <w:rFonts w:ascii="Times New Roman" w:hAnsi="Times New Roman"/>
          <w:b w:val="false"/>
          <w:b w:val="false"/>
          <w:sz w:val="24"/>
          <w:szCs w:val="24"/>
        </w:rPr>
      </w:pPr>
      <w:r>
        <w:rPr/>
      </w:r>
    </w:p>
    <w:p>
      <w:pPr>
        <w:pStyle w:val="1"/>
        <w:spacing w:before="0" w:after="0"/>
        <w:ind w:hanging="0"/>
        <w:jc w:val="right"/>
        <w:rPr>
          <w:rFonts w:ascii="Times New Roman" w:hAnsi="Times New Roman"/>
          <w:b w:val="false"/>
          <w:b w:val="false"/>
          <w:sz w:val="24"/>
          <w:szCs w:val="24"/>
        </w:rPr>
      </w:pPr>
      <w:r>
        <w:rPr/>
      </w:r>
    </w:p>
    <w:p>
      <w:pPr>
        <w:pStyle w:val="1"/>
        <w:spacing w:before="0" w:after="0"/>
        <w:ind w:hanging="0"/>
        <w:jc w:val="right"/>
        <w:rPr>
          <w:rFonts w:ascii="Times New Roman" w:hAnsi="Times New Roman"/>
          <w:b w:val="false"/>
          <w:b w:val="false"/>
          <w:sz w:val="24"/>
          <w:szCs w:val="24"/>
        </w:rPr>
      </w:pPr>
      <w:r>
        <w:rPr/>
      </w:r>
    </w:p>
    <w:p>
      <w:pPr>
        <w:pStyle w:val="1"/>
        <w:spacing w:before="0" w:after="0"/>
        <w:ind w:hanging="0"/>
        <w:jc w:val="right"/>
        <w:rPr>
          <w:rFonts w:ascii="Times New Roman" w:hAnsi="Times New Roman"/>
          <w:b w:val="false"/>
          <w:b w:val="false"/>
          <w:sz w:val="24"/>
          <w:szCs w:val="24"/>
        </w:rPr>
      </w:pPr>
      <w:r>
        <w:rPr/>
      </w:r>
    </w:p>
    <w:p>
      <w:pPr>
        <w:pStyle w:val="1"/>
        <w:spacing w:before="0" w:after="0"/>
        <w:ind w:hanging="0"/>
        <w:jc w:val="right"/>
        <w:rPr>
          <w:rFonts w:ascii="Times New Roman" w:hAnsi="Times New Roman"/>
          <w:b w:val="false"/>
          <w:b w:val="false"/>
          <w:sz w:val="24"/>
          <w:szCs w:val="24"/>
        </w:rPr>
      </w:pPr>
      <w:r>
        <w:rPr/>
      </w:r>
    </w:p>
    <w:p>
      <w:pPr>
        <w:pStyle w:val="1"/>
        <w:spacing w:before="0" w:after="0"/>
        <w:ind w:hanging="0"/>
        <w:jc w:val="right"/>
        <w:rPr>
          <w:rFonts w:ascii="Times New Roman" w:hAnsi="Times New Roman"/>
          <w:b w:val="false"/>
          <w:b w:val="false"/>
          <w:sz w:val="24"/>
          <w:szCs w:val="24"/>
        </w:rPr>
      </w:pPr>
      <w:r>
        <w:rPr/>
      </w:r>
    </w:p>
    <w:p>
      <w:pPr>
        <w:pStyle w:val="1"/>
        <w:spacing w:before="0" w:after="0"/>
        <w:ind w:hanging="0"/>
        <w:jc w:val="right"/>
        <w:rPr>
          <w:rFonts w:ascii="Times New Roman" w:hAnsi="Times New Roman"/>
          <w:b w:val="false"/>
          <w:b w:val="false"/>
          <w:sz w:val="24"/>
          <w:szCs w:val="24"/>
        </w:rPr>
      </w:pPr>
      <w:r>
        <w:rPr/>
      </w:r>
    </w:p>
    <w:p>
      <w:pPr>
        <w:pStyle w:val="1"/>
        <w:spacing w:before="0" w:after="0"/>
        <w:ind w:hanging="0"/>
        <w:jc w:val="right"/>
        <w:rPr>
          <w:rFonts w:ascii="Times New Roman" w:hAnsi="Times New Roman"/>
          <w:b w:val="false"/>
          <w:b w:val="false"/>
          <w:sz w:val="24"/>
          <w:szCs w:val="24"/>
        </w:rPr>
      </w:pPr>
      <w:r>
        <w:rPr>
          <w:rFonts w:ascii="Times New Roman" w:hAnsi="Times New Roman"/>
          <w:b w:val="false"/>
          <w:sz w:val="24"/>
          <w:szCs w:val="24"/>
        </w:rPr>
        <w:t>Приложение № 8</w:t>
      </w:r>
    </w:p>
    <w:p>
      <w:pPr>
        <w:pStyle w:val="Normal"/>
        <w:bidi w:val="0"/>
        <w:snapToGrid w:val="false"/>
        <w:spacing w:lineRule="auto" w:line="240" w:before="0" w:after="0"/>
        <w:ind w:firstLine="709"/>
        <w:jc w:val="right"/>
        <w:rPr>
          <w:rFonts w:ascii="Times New Roman" w:hAnsi="Times New Roman"/>
          <w:sz w:val="24"/>
          <w:szCs w:val="24"/>
        </w:rPr>
      </w:pPr>
      <w:r>
        <w:rPr>
          <w:rFonts w:cs="Times New Roman" w:ascii="Times New Roman" w:hAnsi="Times New Roman"/>
          <w:b w:val="false"/>
          <w:bCs/>
          <w:sz w:val="24"/>
          <w:szCs w:val="24"/>
        </w:rPr>
        <w:t>к Учетной политике от 11.01.2021г.</w:t>
      </w:r>
    </w:p>
    <w:p>
      <w:pPr>
        <w:pStyle w:val="Normal"/>
        <w:bidi w:val="0"/>
        <w:snapToGrid w:val="false"/>
        <w:spacing w:lineRule="auto" w:line="240" w:before="0" w:after="0"/>
        <w:ind w:firstLine="709"/>
        <w:jc w:val="right"/>
        <w:rPr>
          <w:rFonts w:ascii="Times New Roman" w:hAnsi="Times New Roman"/>
          <w:sz w:val="24"/>
          <w:szCs w:val="24"/>
        </w:rPr>
      </w:pPr>
      <w:r>
        <w:rPr>
          <w:rFonts w:ascii="Times New Roman" w:hAnsi="Times New Roman"/>
          <w:sz w:val="24"/>
          <w:szCs w:val="24"/>
        </w:rPr>
      </w:r>
    </w:p>
    <w:p>
      <w:pPr>
        <w:pStyle w:val="Normal"/>
        <w:bidi w:val="0"/>
        <w:snapToGrid w:val="false"/>
        <w:spacing w:before="0" w:after="60"/>
        <w:jc w:val="both"/>
        <w:rPr/>
      </w:pPr>
      <w:r>
        <w:rPr>
          <w:rFonts w:eastAsia="Times New Roman" w:cs="Times New Roman" w:ascii="Times New Roman" w:hAnsi="Times New Roman"/>
          <w:b w:val="false"/>
          <w:bCs w:val="false"/>
          <w:sz w:val="26"/>
          <w:szCs w:val="26"/>
        </w:rPr>
        <w:t xml:space="preserve">  </w:t>
      </w:r>
      <w:r>
        <w:rPr>
          <w:rFonts w:cs="Times New Roman" w:ascii="Times New Roman" w:hAnsi="Times New Roman"/>
          <w:b w:val="false"/>
          <w:bCs w:val="false"/>
          <w:sz w:val="26"/>
          <w:szCs w:val="26"/>
        </w:rPr>
        <w:t xml:space="preserve">Муниципальное бюджетное дошкольное образовательное учреждение </w:t>
      </w:r>
    </w:p>
    <w:p>
      <w:pPr>
        <w:pStyle w:val="1"/>
        <w:pBdr>
          <w:bottom w:val="single" w:sz="8" w:space="1" w:color="000000"/>
        </w:pBdr>
        <w:spacing w:before="0" w:after="0"/>
        <w:jc w:val="center"/>
        <w:rPr>
          <w:rFonts w:ascii="Times New Roman" w:hAnsi="Times New Roman" w:cs="Times New Roman"/>
          <w:b w:val="false"/>
          <w:b w:val="false"/>
          <w:bCs w:val="false"/>
          <w:sz w:val="26"/>
          <w:szCs w:val="26"/>
        </w:rPr>
      </w:pPr>
      <w:r>
        <w:rPr>
          <w:rFonts w:cs="Times New Roman" w:ascii="Times New Roman" w:hAnsi="Times New Roman"/>
          <w:b w:val="false"/>
          <w:bCs w:val="false"/>
          <w:sz w:val="26"/>
          <w:szCs w:val="26"/>
        </w:rPr>
        <w:t>«Детский сад  №157 г. Челябинска»</w:t>
      </w:r>
    </w:p>
    <w:p>
      <w:pPr>
        <w:pStyle w:val="Normal"/>
        <w:spacing w:lineRule="atLeast" w:line="100" w:before="0" w:after="0"/>
        <w:jc w:val="center"/>
        <w:rPr/>
      </w:pPr>
      <w:r>
        <w:rPr>
          <w:rFonts w:cs="Times New Roman" w:ascii="Times New Roman" w:hAnsi="Times New Roman"/>
          <w:b w:val="false"/>
          <w:bCs w:val="false"/>
          <w:sz w:val="22"/>
          <w:szCs w:val="22"/>
          <w:lang w:val="ru-RU"/>
        </w:rPr>
        <w:t xml:space="preserve">454080 Челябинск, ул. Татьяничевой, 12-в, тел. 8 (351)265-70-89, </w:t>
      </w:r>
      <w:r>
        <w:rPr>
          <w:rFonts w:cs="Times New Roman" w:ascii="Times New Roman" w:hAnsi="Times New Roman"/>
          <w:b w:val="false"/>
          <w:bCs w:val="false"/>
          <w:sz w:val="22"/>
          <w:szCs w:val="22"/>
          <w:lang w:val="en-US"/>
        </w:rPr>
        <w:t>e</w:t>
      </w:r>
      <w:r>
        <w:rPr>
          <w:rFonts w:cs="Times New Roman" w:ascii="Times New Roman" w:hAnsi="Times New Roman"/>
          <w:b w:val="false"/>
          <w:bCs w:val="false"/>
          <w:sz w:val="22"/>
          <w:szCs w:val="22"/>
          <w:lang w:val="ru-RU"/>
        </w:rPr>
        <w:t>-</w:t>
      </w:r>
      <w:r>
        <w:rPr>
          <w:rFonts w:cs="Times New Roman" w:ascii="Times New Roman" w:hAnsi="Times New Roman"/>
          <w:b w:val="false"/>
          <w:bCs w:val="false"/>
          <w:sz w:val="22"/>
          <w:szCs w:val="22"/>
          <w:lang w:val="en-US"/>
        </w:rPr>
        <w:t>mail</w:t>
      </w:r>
      <w:r>
        <w:rPr>
          <w:rFonts w:cs="Times New Roman" w:ascii="Times New Roman" w:hAnsi="Times New Roman"/>
          <w:b w:val="false"/>
          <w:bCs w:val="false"/>
          <w:sz w:val="22"/>
          <w:szCs w:val="22"/>
          <w:lang w:val="ru-RU"/>
        </w:rPr>
        <w:t>:</w:t>
      </w:r>
      <w:hyperlink r:id="rId11">
        <w:r>
          <w:rPr>
            <w:rFonts w:cs="Times New Roman" w:ascii="Times New Roman" w:hAnsi="Times New Roman"/>
            <w:b w:val="false"/>
            <w:bCs w:val="false"/>
            <w:sz w:val="22"/>
            <w:szCs w:val="22"/>
            <w:lang w:val="en-US"/>
          </w:rPr>
          <w:t>kinder</w:t>
        </w:r>
      </w:hyperlink>
      <w:hyperlink r:id="rId12">
        <w:r>
          <w:rPr>
            <w:rFonts w:cs="Times New Roman" w:ascii="Times New Roman" w:hAnsi="Times New Roman"/>
            <w:b w:val="false"/>
            <w:bCs w:val="false"/>
            <w:sz w:val="22"/>
            <w:szCs w:val="22"/>
            <w:lang w:val="ru-RU"/>
          </w:rPr>
          <w:t>157@</w:t>
        </w:r>
      </w:hyperlink>
      <w:hyperlink r:id="rId13">
        <w:r>
          <w:rPr>
            <w:rFonts w:cs="Times New Roman" w:ascii="Times New Roman" w:hAnsi="Times New Roman"/>
            <w:b w:val="false"/>
            <w:bCs w:val="false"/>
            <w:sz w:val="22"/>
            <w:szCs w:val="22"/>
            <w:lang w:val="en-US"/>
          </w:rPr>
          <w:t>yand</w:t>
        </w:r>
      </w:hyperlink>
      <w:hyperlink r:id="rId14">
        <w:r>
          <w:rPr>
            <w:rFonts w:cs="Times New Roman" w:ascii="Times New Roman" w:hAnsi="Times New Roman"/>
            <w:b w:val="false"/>
            <w:bCs w:val="false"/>
            <w:sz w:val="22"/>
            <w:szCs w:val="22"/>
            <w:u w:val="none"/>
            <w:lang w:val="en-US"/>
          </w:rPr>
          <w:t>ex</w:t>
        </w:r>
      </w:hyperlink>
    </w:p>
    <w:p>
      <w:pPr>
        <w:pStyle w:val="1"/>
        <w:bidi w:val="0"/>
        <w:snapToGrid w:val="false"/>
        <w:spacing w:before="0" w:after="0"/>
        <w:jc w:val="center"/>
        <w:rPr/>
      </w:pPr>
      <w:r>
        <w:rPr>
          <w:rStyle w:val="Style15"/>
          <w:rFonts w:eastAsia="Times New Roman" w:cs="Times New Roman" w:ascii="Times New Roman" w:hAnsi="Times New Roman"/>
          <w:b w:val="false"/>
          <w:bCs w:val="false"/>
          <w:color w:val="auto"/>
          <w:sz w:val="22"/>
          <w:szCs w:val="22"/>
          <w:u w:val="none"/>
          <w:lang w:val="en-US"/>
        </w:rPr>
        <w:t xml:space="preserve">                              </w:t>
      </w:r>
      <w:r>
        <w:rPr>
          <w:rStyle w:val="Style15"/>
          <w:rFonts w:cs="Times New Roman" w:ascii="Times New Roman" w:hAnsi="Times New Roman"/>
          <w:b w:val="false"/>
          <w:bCs w:val="false"/>
          <w:color w:val="auto"/>
          <w:sz w:val="22"/>
          <w:szCs w:val="22"/>
          <w:u w:val="none"/>
          <w:lang w:val="en-US"/>
        </w:rPr>
        <w:t xml:space="preserve">Челябинск, </w:t>
      </w:r>
      <w:r>
        <w:rPr>
          <w:rStyle w:val="Style15"/>
          <w:rFonts w:cs="Times New Roman" w:ascii="Times New Roman" w:hAnsi="Times New Roman"/>
          <w:b w:val="false"/>
          <w:bCs w:val="false"/>
          <w:color w:val="auto"/>
          <w:sz w:val="22"/>
          <w:szCs w:val="22"/>
          <w:u w:val="none"/>
          <w:lang w:val="ru-RU"/>
        </w:rPr>
        <w:t>ул..Витебская,  2-а, тел. 8(351) 265-70-89</w:t>
      </w:r>
    </w:p>
    <w:p>
      <w:pPr>
        <w:pStyle w:val="1"/>
        <w:bidi w:val="0"/>
        <w:snapToGrid w:val="false"/>
        <w:spacing w:lineRule="auto" w:line="240" w:before="0" w:after="0"/>
        <w:ind w:firstLine="709"/>
        <w:jc w:val="center"/>
        <w:rPr/>
      </w:pPr>
      <w:r>
        <w:rPr>
          <w:rStyle w:val="Style15"/>
          <w:rFonts w:eastAsia="Times New Roman" w:cs="Times New Roman" w:ascii="Times New Roman" w:hAnsi="Times New Roman"/>
          <w:b w:val="false"/>
          <w:bCs w:val="false"/>
          <w:color w:val="auto"/>
          <w:sz w:val="22"/>
          <w:szCs w:val="22"/>
          <w:u w:val="none"/>
          <w:lang w:val="ru-RU"/>
        </w:rPr>
        <w:t xml:space="preserve">  </w:t>
      </w:r>
      <w:r>
        <w:rPr>
          <w:rStyle w:val="Style15"/>
          <w:rFonts w:cs="Times New Roman" w:ascii="Times New Roman" w:hAnsi="Times New Roman"/>
          <w:b w:val="false"/>
          <w:bCs w:val="false"/>
          <w:color w:val="auto"/>
          <w:sz w:val="22"/>
          <w:szCs w:val="22"/>
          <w:u w:val="none"/>
          <w:lang w:val="ru-RU"/>
        </w:rPr>
        <w:t>Челябинск, ул. Витебска</w:t>
      </w:r>
      <w:r>
        <w:rPr>
          <w:rStyle w:val="Style15"/>
          <w:rFonts w:cs="Times New Roman" w:ascii="Times New Roman" w:hAnsi="Times New Roman"/>
          <w:b w:val="false"/>
          <w:bCs/>
          <w:color w:val="auto"/>
          <w:sz w:val="22"/>
          <w:szCs w:val="22"/>
          <w:u w:val="none"/>
          <w:lang w:val="ru-RU"/>
        </w:rPr>
        <w:t>я, 13</w:t>
      </w:r>
      <w:r>
        <w:rPr>
          <w:rFonts w:cs="Times New Roman" w:ascii="Times New Roman" w:hAnsi="Times New Roman"/>
          <w:b w:val="false"/>
          <w:bCs/>
          <w:sz w:val="22"/>
          <w:szCs w:val="22"/>
        </w:rPr>
        <w:t xml:space="preserve">    </w:t>
      </w:r>
    </w:p>
    <w:p>
      <w:pPr>
        <w:pStyle w:val="Standard"/>
        <w:bidi w:val="0"/>
        <w:snapToGrid w:val="false"/>
        <w:spacing w:before="0" w:after="0"/>
        <w:ind w:firstLine="709"/>
        <w:jc w:val="center"/>
        <w:rPr>
          <w:rFonts w:ascii="Times New Roman" w:hAnsi="Times New Roman"/>
          <w:b w:val="false"/>
          <w:b w:val="false"/>
          <w:sz w:val="24"/>
          <w:szCs w:val="24"/>
        </w:rPr>
      </w:pPr>
      <w:r>
        <w:rPr>
          <w:b w:val="false"/>
          <w:sz w:val="24"/>
          <w:szCs w:val="24"/>
        </w:rPr>
      </w:r>
    </w:p>
    <w:p>
      <w:pPr>
        <w:pStyle w:val="Standard"/>
        <w:bidi w:val="0"/>
        <w:snapToGrid w:val="false"/>
        <w:spacing w:before="0" w:after="0"/>
        <w:ind w:hanging="0"/>
        <w:jc w:val="center"/>
        <w:rPr>
          <w:b/>
          <w:b/>
          <w:bCs/>
          <w:lang w:val="ru-RU"/>
        </w:rPr>
      </w:pPr>
      <w:r>
        <w:rPr>
          <w:b/>
          <w:bCs/>
          <w:lang w:val="ru-RU"/>
        </w:rPr>
      </w:r>
    </w:p>
    <w:p>
      <w:pPr>
        <w:pStyle w:val="Standard"/>
        <w:bidi w:val="0"/>
        <w:snapToGrid w:val="false"/>
        <w:spacing w:before="0" w:after="0"/>
        <w:ind w:hanging="0"/>
        <w:jc w:val="center"/>
        <w:rPr>
          <w:b/>
          <w:b/>
          <w:bCs/>
          <w:lang w:val="ru-RU"/>
        </w:rPr>
      </w:pPr>
      <w:r>
        <w:rPr>
          <w:b/>
          <w:bCs/>
          <w:lang w:val="ru-RU"/>
        </w:rPr>
      </w:r>
    </w:p>
    <w:p>
      <w:pPr>
        <w:pStyle w:val="Standard"/>
        <w:bidi w:val="0"/>
        <w:snapToGrid w:val="false"/>
        <w:spacing w:before="0" w:after="0"/>
        <w:ind w:hanging="0"/>
        <w:jc w:val="center"/>
        <w:rPr>
          <w:b/>
          <w:b/>
          <w:bCs/>
          <w:lang w:val="ru-RU"/>
        </w:rPr>
      </w:pPr>
      <w:r>
        <w:rPr>
          <w:b/>
          <w:bCs/>
          <w:lang w:val="ru-RU"/>
        </w:rPr>
      </w:r>
    </w:p>
    <w:p>
      <w:pPr>
        <w:pStyle w:val="Standard"/>
        <w:bidi w:val="0"/>
        <w:snapToGrid w:val="false"/>
        <w:spacing w:before="0" w:after="0"/>
        <w:ind w:hanging="0"/>
        <w:jc w:val="center"/>
        <w:rPr>
          <w:b/>
          <w:b/>
          <w:bCs/>
          <w:lang w:val="ru-RU"/>
        </w:rPr>
      </w:pPr>
      <w:r>
        <w:rPr>
          <w:b/>
          <w:bCs/>
          <w:lang w:val="ru-RU"/>
        </w:rPr>
      </w:r>
    </w:p>
    <w:p>
      <w:pPr>
        <w:pStyle w:val="Standard"/>
        <w:bidi w:val="0"/>
        <w:snapToGrid w:val="false"/>
        <w:spacing w:before="0" w:after="0"/>
        <w:ind w:hanging="0"/>
        <w:jc w:val="center"/>
        <w:rPr>
          <w:b/>
          <w:b/>
          <w:bCs/>
          <w:lang w:val="ru-RU"/>
        </w:rPr>
      </w:pPr>
      <w:r>
        <w:rPr>
          <w:b/>
          <w:bCs/>
          <w:lang w:val="ru-RU"/>
        </w:rPr>
      </w:r>
    </w:p>
    <w:p>
      <w:pPr>
        <w:pStyle w:val="Standard"/>
        <w:bidi w:val="0"/>
        <w:snapToGrid w:val="false"/>
        <w:spacing w:before="0" w:after="0"/>
        <w:ind w:hanging="0"/>
        <w:jc w:val="center"/>
        <w:rPr>
          <w:b/>
          <w:b/>
          <w:bCs/>
          <w:lang w:val="ru-RU"/>
        </w:rPr>
      </w:pPr>
      <w:r>
        <w:rPr>
          <w:b/>
          <w:bCs/>
          <w:lang w:val="ru-RU"/>
        </w:rPr>
        <w:t>АКТ ВНУТРЕННЕГО КОНТРОЛЯ</w:t>
      </w:r>
    </w:p>
    <w:p>
      <w:pPr>
        <w:pStyle w:val="Standard"/>
        <w:bidi w:val="0"/>
        <w:snapToGrid w:val="false"/>
        <w:spacing w:before="0" w:after="0"/>
        <w:ind w:firstLine="709"/>
        <w:jc w:val="center"/>
        <w:rPr>
          <w:rFonts w:ascii="Times New Roman" w:hAnsi="Times New Roman"/>
          <w:b w:val="false"/>
          <w:b w:val="false"/>
          <w:sz w:val="24"/>
          <w:szCs w:val="24"/>
        </w:rPr>
      </w:pPr>
      <w:r>
        <w:rPr>
          <w:b w:val="false"/>
          <w:sz w:val="24"/>
          <w:szCs w:val="24"/>
        </w:rPr>
      </w:r>
    </w:p>
    <w:p>
      <w:pPr>
        <w:pStyle w:val="Standard"/>
        <w:bidi w:val="0"/>
        <w:snapToGrid w:val="false"/>
        <w:spacing w:before="0" w:after="0"/>
        <w:ind w:hanging="0"/>
        <w:jc w:val="center"/>
        <w:rPr>
          <w:rFonts w:ascii="Times New Roman" w:hAnsi="Times New Roman" w:eastAsia="Andale Sans UI;Arial Unicode MS" w:cs="Tahoma"/>
          <w:b/>
          <w:b/>
          <w:bCs/>
          <w:color w:val="auto"/>
          <w:kern w:val="2"/>
          <w:sz w:val="24"/>
          <w:szCs w:val="24"/>
          <w:lang w:val="ru-RU" w:eastAsia="ja-JP" w:bidi="fa-IR"/>
        </w:rPr>
      </w:pPr>
      <w:r>
        <w:rPr>
          <w:rFonts w:eastAsia="Andale Sans UI;Arial Unicode MS" w:cs="Tahoma"/>
          <w:b/>
          <w:bCs/>
          <w:color w:val="auto"/>
          <w:kern w:val="2"/>
          <w:sz w:val="24"/>
          <w:szCs w:val="24"/>
          <w:lang w:val="ru-RU" w:eastAsia="ja-JP" w:bidi="fa-IR"/>
        </w:rPr>
      </w:r>
    </w:p>
    <w:p>
      <w:pPr>
        <w:pStyle w:val="Standard"/>
        <w:bidi w:val="0"/>
        <w:snapToGrid w:val="false"/>
        <w:spacing w:before="0" w:after="0"/>
        <w:ind w:hanging="0"/>
        <w:jc w:val="left"/>
        <w:rPr>
          <w:b w:val="false"/>
          <w:b w:val="false"/>
          <w:bCs w:val="false"/>
          <w:lang w:val="ru-RU"/>
        </w:rPr>
      </w:pPr>
      <w:r>
        <w:rPr>
          <w:b w:val="false"/>
          <w:bCs w:val="false"/>
          <w:lang w:val="ru-RU"/>
        </w:rPr>
        <w:t>Дата начала проверки: «05» апреля 2021 года.</w:t>
      </w:r>
    </w:p>
    <w:p>
      <w:pPr>
        <w:pStyle w:val="Standard"/>
        <w:bidi w:val="0"/>
        <w:snapToGrid w:val="false"/>
        <w:spacing w:before="0" w:after="0"/>
        <w:ind w:hanging="0"/>
        <w:jc w:val="left"/>
        <w:rPr>
          <w:b w:val="false"/>
          <w:b w:val="false"/>
          <w:bCs w:val="false"/>
          <w:lang w:val="ru-RU"/>
        </w:rPr>
      </w:pPr>
      <w:r>
        <w:rPr>
          <w:b w:val="false"/>
          <w:bCs w:val="false"/>
          <w:lang w:val="ru-RU"/>
        </w:rPr>
        <w:t>Дата завершения проверки: «05» апреля 2021 года.</w:t>
      </w:r>
    </w:p>
    <w:p>
      <w:pPr>
        <w:pStyle w:val="Standard"/>
        <w:bidi w:val="0"/>
        <w:snapToGrid w:val="false"/>
        <w:spacing w:before="0" w:after="0"/>
        <w:ind w:hanging="0"/>
        <w:jc w:val="left"/>
        <w:rPr>
          <w:b w:val="false"/>
          <w:b w:val="false"/>
          <w:bCs w:val="false"/>
          <w:lang w:val="ru-RU"/>
        </w:rPr>
      </w:pPr>
      <w:r>
        <w:rPr>
          <w:b w:val="false"/>
          <w:bCs w:val="false"/>
          <w:lang w:val="ru-RU"/>
        </w:rPr>
      </w:r>
    </w:p>
    <w:p>
      <w:pPr>
        <w:pStyle w:val="Standard"/>
        <w:bidi w:val="0"/>
        <w:snapToGrid w:val="false"/>
        <w:spacing w:before="0" w:after="0"/>
        <w:ind w:hanging="0"/>
        <w:jc w:val="left"/>
        <w:rPr>
          <w:b w:val="false"/>
          <w:b w:val="false"/>
          <w:bCs w:val="false"/>
          <w:lang w:val="ru-RU"/>
        </w:rPr>
      </w:pPr>
      <w:r>
        <w:rPr>
          <w:b w:val="false"/>
          <w:bCs w:val="false"/>
          <w:lang w:val="ru-RU"/>
        </w:rPr>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t xml:space="preserve">        </w:t>
      </w:r>
      <w:r>
        <w:rPr>
          <w:b w:val="false"/>
          <w:bCs w:val="false"/>
          <w:lang w:val="ru-RU"/>
        </w:rPr>
        <w:t>Настоящий акт составлен по результатам внутренней проверки по начислению заработной платы в 2019-2020 годах.</w:t>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t xml:space="preserve">        </w:t>
      </w:r>
      <w:r>
        <w:rPr>
          <w:b w:val="false"/>
          <w:bCs w:val="false"/>
          <w:lang w:val="ru-RU"/>
        </w:rPr>
        <w:t>В ходе проверки установлено, что у 6 воспитателей квалификационная категория начислялась на ставку, без учета 0,2 ставки. Необходимо возместить недоплату.</w:t>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t>Главный бухгалтер                                             Д.А.Сташевская</w:t>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r>
    </w:p>
    <w:p>
      <w:pPr>
        <w:pStyle w:val="Normal"/>
        <w:bidi w:val="0"/>
        <w:snapToGrid w:val="false"/>
        <w:spacing w:before="0" w:after="60"/>
        <w:jc w:val="center"/>
        <w:rPr>
          <w:rFonts w:ascii="Times New Roman" w:hAnsi="Times New Roman" w:cs="Times New Roman"/>
          <w:b w:val="false"/>
          <w:b w:val="false"/>
          <w:bCs w:val="false"/>
          <w:sz w:val="26"/>
          <w:szCs w:val="26"/>
        </w:rPr>
      </w:pPr>
      <w:r>
        <w:rPr>
          <w:rFonts w:cs="Times New Roman" w:ascii="Times New Roman" w:hAnsi="Times New Roman"/>
          <w:b w:val="false"/>
          <w:bCs w:val="false"/>
          <w:sz w:val="26"/>
          <w:szCs w:val="26"/>
        </w:rPr>
      </w:r>
    </w:p>
    <w:p>
      <w:pPr>
        <w:pStyle w:val="Normal"/>
        <w:bidi w:val="0"/>
        <w:snapToGrid w:val="false"/>
        <w:spacing w:before="0" w:after="60"/>
        <w:jc w:val="center"/>
        <w:rPr>
          <w:rFonts w:ascii="Times New Roman" w:hAnsi="Times New Roman" w:cs="Times New Roman"/>
          <w:b w:val="false"/>
          <w:b w:val="false"/>
          <w:bCs w:val="false"/>
          <w:sz w:val="26"/>
          <w:szCs w:val="26"/>
        </w:rPr>
      </w:pPr>
      <w:r>
        <w:rPr>
          <w:rFonts w:cs="Times New Roman" w:ascii="Times New Roman" w:hAnsi="Times New Roman"/>
          <w:b w:val="false"/>
          <w:bCs w:val="false"/>
          <w:sz w:val="26"/>
          <w:szCs w:val="26"/>
        </w:rPr>
      </w:r>
    </w:p>
    <w:p>
      <w:pPr>
        <w:pStyle w:val="Normal"/>
        <w:bidi w:val="0"/>
        <w:snapToGrid w:val="false"/>
        <w:spacing w:before="0" w:after="60"/>
        <w:jc w:val="center"/>
        <w:rPr>
          <w:rFonts w:ascii="Times New Roman" w:hAnsi="Times New Roman" w:cs="Times New Roman"/>
          <w:b w:val="false"/>
          <w:b w:val="false"/>
          <w:bCs w:val="false"/>
          <w:sz w:val="26"/>
          <w:szCs w:val="26"/>
        </w:rPr>
      </w:pPr>
      <w:r>
        <w:rPr>
          <w:rFonts w:cs="Times New Roman" w:ascii="Times New Roman" w:hAnsi="Times New Roman"/>
          <w:b w:val="false"/>
          <w:bCs w:val="false"/>
          <w:sz w:val="26"/>
          <w:szCs w:val="26"/>
        </w:rPr>
      </w:r>
    </w:p>
    <w:p>
      <w:pPr>
        <w:pStyle w:val="Normal"/>
        <w:bidi w:val="0"/>
        <w:snapToGrid w:val="false"/>
        <w:spacing w:before="0" w:after="60"/>
        <w:jc w:val="center"/>
        <w:rPr/>
      </w:pPr>
      <w:r>
        <w:rPr>
          <w:rFonts w:cs="Times New Roman" w:ascii="Times New Roman" w:hAnsi="Times New Roman"/>
          <w:b w:val="false"/>
          <w:bCs w:val="false"/>
          <w:sz w:val="26"/>
          <w:szCs w:val="26"/>
        </w:rPr>
        <w:t xml:space="preserve">Муниципальное бюджетное дошкольное образовательное учреждение </w:t>
      </w:r>
    </w:p>
    <w:p>
      <w:pPr>
        <w:pStyle w:val="1"/>
        <w:pBdr>
          <w:bottom w:val="single" w:sz="8" w:space="1" w:color="000000"/>
        </w:pBdr>
        <w:spacing w:before="0" w:after="0"/>
        <w:jc w:val="center"/>
        <w:rPr>
          <w:rFonts w:ascii="Times New Roman" w:hAnsi="Times New Roman" w:cs="Times New Roman"/>
          <w:b w:val="false"/>
          <w:b w:val="false"/>
          <w:bCs w:val="false"/>
          <w:sz w:val="26"/>
          <w:szCs w:val="26"/>
        </w:rPr>
      </w:pPr>
      <w:r>
        <w:rPr>
          <w:rFonts w:cs="Times New Roman" w:ascii="Times New Roman" w:hAnsi="Times New Roman"/>
          <w:b w:val="false"/>
          <w:bCs w:val="false"/>
          <w:sz w:val="26"/>
          <w:szCs w:val="26"/>
        </w:rPr>
        <w:t>«Детский сад  №157 г. Челябинска»</w:t>
      </w:r>
    </w:p>
    <w:p>
      <w:pPr>
        <w:pStyle w:val="Normal"/>
        <w:spacing w:lineRule="atLeast" w:line="100" w:before="0" w:after="0"/>
        <w:jc w:val="center"/>
        <w:rPr/>
      </w:pPr>
      <w:r>
        <w:rPr>
          <w:rFonts w:cs="Times New Roman" w:ascii="Times New Roman" w:hAnsi="Times New Roman"/>
          <w:b w:val="false"/>
          <w:bCs w:val="false"/>
          <w:sz w:val="22"/>
          <w:szCs w:val="22"/>
          <w:lang w:val="ru-RU"/>
        </w:rPr>
        <w:t xml:space="preserve">454080 Челябинск, ул. Татьяничевой, 12-в, тел. 8 (351)265-70-89, </w:t>
      </w:r>
      <w:r>
        <w:rPr>
          <w:rFonts w:cs="Times New Roman" w:ascii="Times New Roman" w:hAnsi="Times New Roman"/>
          <w:b w:val="false"/>
          <w:bCs w:val="false"/>
          <w:sz w:val="22"/>
          <w:szCs w:val="22"/>
          <w:lang w:val="en-US"/>
        </w:rPr>
        <w:t>e</w:t>
      </w:r>
      <w:r>
        <w:rPr>
          <w:rFonts w:cs="Times New Roman" w:ascii="Times New Roman" w:hAnsi="Times New Roman"/>
          <w:b w:val="false"/>
          <w:bCs w:val="false"/>
          <w:sz w:val="22"/>
          <w:szCs w:val="22"/>
          <w:lang w:val="ru-RU"/>
        </w:rPr>
        <w:t>-</w:t>
      </w:r>
      <w:r>
        <w:rPr>
          <w:rFonts w:cs="Times New Roman" w:ascii="Times New Roman" w:hAnsi="Times New Roman"/>
          <w:b w:val="false"/>
          <w:bCs w:val="false"/>
          <w:sz w:val="22"/>
          <w:szCs w:val="22"/>
          <w:lang w:val="en-US"/>
        </w:rPr>
        <w:t>mail</w:t>
      </w:r>
      <w:r>
        <w:rPr>
          <w:rFonts w:cs="Times New Roman" w:ascii="Times New Roman" w:hAnsi="Times New Roman"/>
          <w:b w:val="false"/>
          <w:bCs w:val="false"/>
          <w:sz w:val="22"/>
          <w:szCs w:val="22"/>
          <w:lang w:val="ru-RU"/>
        </w:rPr>
        <w:t>:</w:t>
      </w:r>
      <w:hyperlink r:id="rId15">
        <w:r>
          <w:rPr>
            <w:rFonts w:cs="Times New Roman" w:ascii="Times New Roman" w:hAnsi="Times New Roman"/>
            <w:b w:val="false"/>
            <w:bCs w:val="false"/>
            <w:sz w:val="22"/>
            <w:szCs w:val="22"/>
            <w:lang w:val="en-US"/>
          </w:rPr>
          <w:t>kinder</w:t>
        </w:r>
      </w:hyperlink>
      <w:hyperlink r:id="rId16">
        <w:r>
          <w:rPr>
            <w:rFonts w:cs="Times New Roman" w:ascii="Times New Roman" w:hAnsi="Times New Roman"/>
            <w:b w:val="false"/>
            <w:bCs w:val="false"/>
            <w:sz w:val="22"/>
            <w:szCs w:val="22"/>
            <w:lang w:val="ru-RU"/>
          </w:rPr>
          <w:t>157@</w:t>
        </w:r>
      </w:hyperlink>
      <w:hyperlink r:id="rId17">
        <w:r>
          <w:rPr>
            <w:rFonts w:cs="Times New Roman" w:ascii="Times New Roman" w:hAnsi="Times New Roman"/>
            <w:b w:val="false"/>
            <w:bCs w:val="false"/>
            <w:sz w:val="22"/>
            <w:szCs w:val="22"/>
            <w:lang w:val="en-US"/>
          </w:rPr>
          <w:t>yand</w:t>
        </w:r>
      </w:hyperlink>
      <w:hyperlink r:id="rId18">
        <w:r>
          <w:rPr>
            <w:rFonts w:cs="Times New Roman" w:ascii="Times New Roman" w:hAnsi="Times New Roman"/>
            <w:b w:val="false"/>
            <w:bCs w:val="false"/>
            <w:sz w:val="22"/>
            <w:szCs w:val="22"/>
            <w:u w:val="none"/>
            <w:lang w:val="en-US"/>
          </w:rPr>
          <w:t>ex</w:t>
        </w:r>
      </w:hyperlink>
    </w:p>
    <w:p>
      <w:pPr>
        <w:pStyle w:val="1"/>
        <w:bidi w:val="0"/>
        <w:snapToGrid w:val="false"/>
        <w:spacing w:before="0" w:after="0"/>
        <w:jc w:val="center"/>
        <w:rPr/>
      </w:pPr>
      <w:r>
        <w:rPr>
          <w:rStyle w:val="Style15"/>
          <w:rFonts w:eastAsia="Times New Roman" w:cs="Times New Roman" w:ascii="Times New Roman" w:hAnsi="Times New Roman"/>
          <w:b w:val="false"/>
          <w:bCs w:val="false"/>
          <w:color w:val="auto"/>
          <w:sz w:val="22"/>
          <w:szCs w:val="22"/>
          <w:u w:val="none"/>
          <w:lang w:val="en-US"/>
        </w:rPr>
        <w:t xml:space="preserve">                              </w:t>
      </w:r>
      <w:r>
        <w:rPr>
          <w:rStyle w:val="Style15"/>
          <w:rFonts w:cs="Times New Roman" w:ascii="Times New Roman" w:hAnsi="Times New Roman"/>
          <w:b w:val="false"/>
          <w:bCs w:val="false"/>
          <w:color w:val="auto"/>
          <w:sz w:val="22"/>
          <w:szCs w:val="22"/>
          <w:u w:val="none"/>
          <w:lang w:val="en-US"/>
        </w:rPr>
        <w:t xml:space="preserve">Челябинск, </w:t>
      </w:r>
      <w:r>
        <w:rPr>
          <w:rStyle w:val="Style15"/>
          <w:rFonts w:cs="Times New Roman" w:ascii="Times New Roman" w:hAnsi="Times New Roman"/>
          <w:b w:val="false"/>
          <w:bCs w:val="false"/>
          <w:color w:val="auto"/>
          <w:sz w:val="22"/>
          <w:szCs w:val="22"/>
          <w:u w:val="none"/>
          <w:lang w:val="ru-RU"/>
        </w:rPr>
        <w:t>ул..Витебская,  2-а, тел. 8(351) 265-70-89</w:t>
      </w:r>
    </w:p>
    <w:p>
      <w:pPr>
        <w:pStyle w:val="1"/>
        <w:widowControl w:val="false"/>
        <w:suppressAutoHyphens w:val="true"/>
        <w:bidi w:val="0"/>
        <w:snapToGrid w:val="false"/>
        <w:spacing w:before="0" w:after="0"/>
        <w:ind w:left="0" w:right="0" w:hanging="0"/>
        <w:jc w:val="center"/>
        <w:textAlignment w:val="baseline"/>
        <w:rPr>
          <w:b w:val="false"/>
          <w:b w:val="false"/>
          <w:bCs w:val="false"/>
          <w:lang w:val="ru-RU"/>
        </w:rPr>
      </w:pPr>
      <w:r>
        <w:rPr>
          <w:rStyle w:val="Style15"/>
          <w:rFonts w:eastAsia="Times New Roman" w:cs="Times New Roman" w:ascii="Times New Roman" w:hAnsi="Times New Roman"/>
          <w:b w:val="false"/>
          <w:bCs w:val="false"/>
          <w:color w:val="auto"/>
          <w:sz w:val="22"/>
          <w:szCs w:val="22"/>
          <w:u w:val="none"/>
          <w:lang w:val="ru-RU"/>
        </w:rPr>
        <w:t xml:space="preserve">  </w:t>
      </w:r>
      <w:r>
        <w:rPr>
          <w:rStyle w:val="Style15"/>
          <w:rFonts w:cs="Times New Roman" w:ascii="Times New Roman" w:hAnsi="Times New Roman"/>
          <w:b w:val="false"/>
          <w:bCs w:val="false"/>
          <w:color w:val="auto"/>
          <w:sz w:val="22"/>
          <w:szCs w:val="22"/>
          <w:u w:val="none"/>
          <w:lang w:val="ru-RU"/>
        </w:rPr>
        <w:t>Челябинск, ул. Витебска</w:t>
      </w:r>
      <w:r>
        <w:rPr>
          <w:rStyle w:val="Style15"/>
          <w:rFonts w:cs="Times New Roman" w:ascii="Times New Roman" w:hAnsi="Times New Roman"/>
          <w:b w:val="false"/>
          <w:bCs/>
          <w:color w:val="auto"/>
          <w:sz w:val="22"/>
          <w:szCs w:val="22"/>
          <w:u w:val="none"/>
          <w:lang w:val="ru-RU"/>
        </w:rPr>
        <w:t>я, 13</w:t>
      </w:r>
      <w:r>
        <w:rPr>
          <w:rFonts w:cs="Times New Roman" w:ascii="Times New Roman" w:hAnsi="Times New Roman"/>
          <w:b w:val="false"/>
          <w:bCs/>
          <w:sz w:val="22"/>
          <w:szCs w:val="22"/>
          <w:lang w:val="ru-RU"/>
        </w:rPr>
        <w:t xml:space="preserve">    </w:t>
      </w:r>
    </w:p>
    <w:p>
      <w:pPr>
        <w:pStyle w:val="Standard"/>
        <w:widowControl w:val="false"/>
        <w:suppressAutoHyphens w:val="true"/>
        <w:bidi w:val="0"/>
        <w:snapToGrid w:val="false"/>
        <w:spacing w:before="0" w:after="0"/>
        <w:ind w:firstLine="709"/>
        <w:jc w:val="center"/>
        <w:textAlignment w:val="baseline"/>
        <w:rPr>
          <w:rFonts w:ascii="Times New Roman" w:hAnsi="Times New Roman"/>
          <w:b w:val="false"/>
          <w:b w:val="false"/>
          <w:sz w:val="24"/>
          <w:szCs w:val="24"/>
        </w:rPr>
      </w:pPr>
      <w:r>
        <w:rPr>
          <w:b w:val="false"/>
          <w:sz w:val="24"/>
          <w:szCs w:val="24"/>
        </w:rPr>
      </w:r>
    </w:p>
    <w:p>
      <w:pPr>
        <w:pStyle w:val="Standard"/>
        <w:widowControl w:val="false"/>
        <w:suppressAutoHyphens w:val="true"/>
        <w:bidi w:val="0"/>
        <w:snapToGrid w:val="false"/>
        <w:spacing w:before="0" w:after="0"/>
        <w:ind w:firstLine="709"/>
        <w:jc w:val="center"/>
        <w:textAlignment w:val="baseline"/>
        <w:rPr>
          <w:rFonts w:ascii="Times New Roman" w:hAnsi="Times New Roman"/>
          <w:b w:val="false"/>
          <w:b w:val="false"/>
          <w:sz w:val="24"/>
          <w:szCs w:val="24"/>
        </w:rPr>
      </w:pPr>
      <w:r>
        <w:rPr>
          <w:b w:val="false"/>
          <w:sz w:val="24"/>
          <w:szCs w:val="24"/>
        </w:rPr>
      </w:r>
    </w:p>
    <w:p>
      <w:pPr>
        <w:pStyle w:val="Standard"/>
        <w:widowControl w:val="false"/>
        <w:suppressAutoHyphens w:val="true"/>
        <w:bidi w:val="0"/>
        <w:snapToGrid w:val="false"/>
        <w:spacing w:before="0" w:after="0"/>
        <w:ind w:firstLine="709"/>
        <w:jc w:val="center"/>
        <w:textAlignment w:val="baseline"/>
        <w:rPr>
          <w:rFonts w:ascii="Times New Roman" w:hAnsi="Times New Roman"/>
          <w:b w:val="false"/>
          <w:b w:val="false"/>
          <w:sz w:val="24"/>
          <w:szCs w:val="24"/>
        </w:rPr>
      </w:pPr>
      <w:r>
        <w:rPr>
          <w:b w:val="false"/>
          <w:sz w:val="24"/>
          <w:szCs w:val="24"/>
        </w:rPr>
      </w:r>
    </w:p>
    <w:p>
      <w:pPr>
        <w:pStyle w:val="Standard"/>
        <w:widowControl w:val="false"/>
        <w:suppressAutoHyphens w:val="true"/>
        <w:bidi w:val="0"/>
        <w:snapToGrid w:val="false"/>
        <w:spacing w:before="0" w:after="0"/>
        <w:ind w:firstLine="709"/>
        <w:jc w:val="center"/>
        <w:textAlignment w:val="baseline"/>
        <w:rPr>
          <w:rFonts w:ascii="Times New Roman" w:hAnsi="Times New Roman"/>
          <w:b w:val="false"/>
          <w:b w:val="false"/>
          <w:sz w:val="24"/>
          <w:szCs w:val="24"/>
        </w:rPr>
      </w:pPr>
      <w:r>
        <w:rPr>
          <w:b w:val="false"/>
          <w:sz w:val="24"/>
          <w:szCs w:val="24"/>
        </w:rPr>
      </w:r>
    </w:p>
    <w:p>
      <w:pPr>
        <w:pStyle w:val="Standard"/>
        <w:widowControl w:val="false"/>
        <w:suppressAutoHyphens w:val="true"/>
        <w:bidi w:val="0"/>
        <w:snapToGrid w:val="false"/>
        <w:spacing w:before="0" w:after="0"/>
        <w:ind w:firstLine="709"/>
        <w:jc w:val="center"/>
        <w:textAlignment w:val="baseline"/>
        <w:rPr>
          <w:rFonts w:ascii="Times New Roman" w:hAnsi="Times New Roman"/>
          <w:b w:val="false"/>
          <w:b w:val="false"/>
          <w:sz w:val="24"/>
          <w:szCs w:val="24"/>
        </w:rPr>
      </w:pPr>
      <w:r>
        <w:rPr>
          <w:b w:val="false"/>
          <w:sz w:val="24"/>
          <w:szCs w:val="24"/>
        </w:rPr>
      </w:r>
    </w:p>
    <w:p>
      <w:pPr>
        <w:pStyle w:val="Standard"/>
        <w:widowControl w:val="false"/>
        <w:suppressAutoHyphens w:val="true"/>
        <w:bidi w:val="0"/>
        <w:snapToGrid w:val="false"/>
        <w:spacing w:before="0" w:after="0"/>
        <w:ind w:firstLine="709"/>
        <w:jc w:val="center"/>
        <w:textAlignment w:val="baseline"/>
        <w:rPr>
          <w:rFonts w:ascii="Times New Roman" w:hAnsi="Times New Roman"/>
          <w:b w:val="false"/>
          <w:b w:val="false"/>
          <w:sz w:val="24"/>
          <w:szCs w:val="24"/>
        </w:rPr>
      </w:pPr>
      <w:r>
        <w:rPr>
          <w:b w:val="false"/>
          <w:sz w:val="24"/>
          <w:szCs w:val="24"/>
        </w:rPr>
      </w:r>
    </w:p>
    <w:p>
      <w:pPr>
        <w:pStyle w:val="Standard"/>
        <w:bidi w:val="0"/>
        <w:snapToGrid w:val="false"/>
        <w:spacing w:before="0" w:after="0"/>
        <w:ind w:hanging="0"/>
        <w:jc w:val="center"/>
        <w:rPr/>
      </w:pPr>
      <w:r>
        <w:rPr>
          <w:b/>
          <w:bCs/>
          <w:lang w:val="ru-RU"/>
        </w:rPr>
        <w:t>АКТ ВНУТРЕННЕГО КОНТРОЛЯ</w:t>
      </w:r>
    </w:p>
    <w:p>
      <w:pPr>
        <w:pStyle w:val="Standard"/>
        <w:bidi w:val="0"/>
        <w:snapToGrid w:val="false"/>
        <w:spacing w:before="0" w:after="0"/>
        <w:ind w:firstLine="709"/>
        <w:jc w:val="center"/>
        <w:rPr>
          <w:b w:val="false"/>
          <w:b w:val="false"/>
          <w:bCs w:val="false"/>
          <w:lang w:val="ru-RU"/>
        </w:rPr>
      </w:pPr>
      <w:r>
        <w:rPr>
          <w:b w:val="false"/>
          <w:bCs w:val="false"/>
          <w:lang w:val="ru-RU"/>
        </w:rPr>
      </w:r>
    </w:p>
    <w:p>
      <w:pPr>
        <w:pStyle w:val="Standard"/>
        <w:bidi w:val="0"/>
        <w:snapToGrid w:val="false"/>
        <w:spacing w:before="0" w:after="0"/>
        <w:ind w:hanging="0"/>
        <w:jc w:val="left"/>
        <w:rPr>
          <w:b w:val="false"/>
          <w:b w:val="false"/>
          <w:bCs w:val="false"/>
          <w:lang w:val="ru-RU"/>
        </w:rPr>
      </w:pPr>
      <w:r>
        <w:rPr>
          <w:b w:val="false"/>
          <w:bCs w:val="false"/>
          <w:lang w:val="ru-RU"/>
        </w:rPr>
        <w:t>Дата начала проверки: «04» октября 2021 года.</w:t>
      </w:r>
    </w:p>
    <w:p>
      <w:pPr>
        <w:pStyle w:val="Standard"/>
        <w:bidi w:val="0"/>
        <w:snapToGrid w:val="false"/>
        <w:spacing w:before="0" w:after="0"/>
        <w:ind w:hanging="0"/>
        <w:jc w:val="left"/>
        <w:rPr>
          <w:b w:val="false"/>
          <w:b w:val="false"/>
          <w:bCs w:val="false"/>
          <w:lang w:val="ru-RU"/>
        </w:rPr>
      </w:pPr>
      <w:r>
        <w:rPr>
          <w:b w:val="false"/>
          <w:bCs w:val="false"/>
          <w:lang w:val="ru-RU"/>
        </w:rPr>
        <w:t>Дата завершения проверки: «04» октября 2021 года.</w:t>
      </w:r>
    </w:p>
    <w:p>
      <w:pPr>
        <w:pStyle w:val="Standard"/>
        <w:bidi w:val="0"/>
        <w:snapToGrid w:val="false"/>
        <w:spacing w:before="0" w:after="0"/>
        <w:ind w:hanging="0"/>
        <w:jc w:val="left"/>
        <w:rPr>
          <w:b w:val="false"/>
          <w:b w:val="false"/>
          <w:bCs w:val="false"/>
          <w:lang w:val="ru-RU"/>
        </w:rPr>
      </w:pPr>
      <w:r>
        <w:rPr>
          <w:b w:val="false"/>
          <w:bCs w:val="false"/>
          <w:lang w:val="ru-RU"/>
        </w:rPr>
      </w:r>
    </w:p>
    <w:p>
      <w:pPr>
        <w:pStyle w:val="Standard"/>
        <w:bidi w:val="0"/>
        <w:snapToGrid w:val="false"/>
        <w:spacing w:before="0" w:after="0"/>
        <w:ind w:hanging="0"/>
        <w:jc w:val="left"/>
        <w:rPr>
          <w:b w:val="false"/>
          <w:b w:val="false"/>
          <w:bCs w:val="false"/>
          <w:lang w:val="ru-RU"/>
        </w:rPr>
      </w:pPr>
      <w:r>
        <w:rPr>
          <w:b w:val="false"/>
          <w:bCs w:val="false"/>
          <w:lang w:val="ru-RU"/>
        </w:rPr>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t xml:space="preserve">          </w:t>
      </w:r>
      <w:r>
        <w:rPr>
          <w:b w:val="false"/>
          <w:bCs w:val="false"/>
          <w:lang w:val="ru-RU"/>
        </w:rPr>
        <w:t xml:space="preserve">Настоящий акт составлен по результатам внутренней проверки по начислению заработной платы в </w:t>
      </w:r>
      <w:r>
        <w:rPr>
          <w:rFonts w:eastAsia="Andale Sans UI;Arial Unicode MS" w:cs="Tahoma"/>
          <w:b w:val="false"/>
          <w:bCs w:val="false"/>
          <w:color w:val="auto"/>
          <w:kern w:val="2"/>
          <w:sz w:val="24"/>
          <w:szCs w:val="24"/>
          <w:lang w:val="ru-RU" w:eastAsia="ja-JP" w:bidi="fa-IR"/>
        </w:rPr>
        <w:t xml:space="preserve">2021 </w:t>
      </w:r>
      <w:r>
        <w:rPr>
          <w:b w:val="false"/>
          <w:bCs w:val="false"/>
          <w:lang w:val="ru-RU"/>
        </w:rPr>
        <w:t>году.</w:t>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t xml:space="preserve">        </w:t>
      </w:r>
      <w:r>
        <w:rPr>
          <w:b w:val="false"/>
          <w:bCs w:val="false"/>
          <w:lang w:val="ru-RU"/>
        </w:rPr>
        <w:t xml:space="preserve">В ходе проверки установлено, что у </w:t>
      </w:r>
      <w:r>
        <w:rPr>
          <w:rFonts w:eastAsia="Andale Sans UI;Arial Unicode MS" w:cs="Tahoma"/>
          <w:b w:val="false"/>
          <w:bCs w:val="false"/>
          <w:color w:val="auto"/>
          <w:kern w:val="2"/>
          <w:sz w:val="24"/>
          <w:szCs w:val="24"/>
          <w:lang w:val="ru-RU" w:eastAsia="ja-JP" w:bidi="fa-IR"/>
        </w:rPr>
        <w:t xml:space="preserve">воспитателя Тингаевой Е.А. в сентябре 2021 года начислили 10% за стаж работы с детьми, а нужно было начислить 15%. Необходимо с октября 2021 года начислять Тингаевой Е.А. 15% и доначислить 5% с сентября. </w:t>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rFonts w:cs="Times New Roman"/>
          <w:b w:val="false"/>
          <w:bCs w:val="false"/>
          <w:sz w:val="26"/>
          <w:szCs w:val="26"/>
          <w:lang w:val="ru-RU"/>
        </w:rPr>
        <w:t>Главный бухгалтер                                             Д.А.Сташевская</w:t>
      </w:r>
    </w:p>
    <w:p>
      <w:pPr>
        <w:pStyle w:val="Normal"/>
        <w:bidi w:val="0"/>
        <w:snapToGrid w:val="false"/>
        <w:spacing w:before="0" w:after="60"/>
        <w:jc w:val="both"/>
        <w:rPr>
          <w:rFonts w:ascii="Times New Roman" w:hAnsi="Times New Roman" w:cs="Times New Roman"/>
          <w:b w:val="false"/>
          <w:b w:val="false"/>
          <w:bCs w:val="false"/>
          <w:sz w:val="26"/>
          <w:szCs w:val="26"/>
        </w:rPr>
      </w:pPr>
      <w:r>
        <w:rPr>
          <w:rFonts w:cs="Times New Roman" w:ascii="Times New Roman" w:hAnsi="Times New Roman"/>
          <w:b w:val="false"/>
          <w:bCs w:val="false"/>
          <w:sz w:val="26"/>
          <w:szCs w:val="26"/>
        </w:rPr>
      </w:r>
    </w:p>
    <w:p>
      <w:pPr>
        <w:pStyle w:val="Normal"/>
        <w:bidi w:val="0"/>
        <w:snapToGrid w:val="false"/>
        <w:spacing w:before="0" w:after="60"/>
        <w:jc w:val="both"/>
        <w:rPr>
          <w:rFonts w:ascii="Times New Roman" w:hAnsi="Times New Roman" w:cs="Times New Roman"/>
          <w:b w:val="false"/>
          <w:b w:val="false"/>
          <w:bCs w:val="false"/>
          <w:sz w:val="26"/>
          <w:szCs w:val="26"/>
        </w:rPr>
      </w:pPr>
      <w:r>
        <w:rPr>
          <w:rFonts w:cs="Times New Roman" w:ascii="Times New Roman" w:hAnsi="Times New Roman"/>
          <w:b w:val="false"/>
          <w:bCs w:val="false"/>
          <w:sz w:val="26"/>
          <w:szCs w:val="26"/>
        </w:rPr>
      </w:r>
    </w:p>
    <w:p>
      <w:pPr>
        <w:pStyle w:val="Normal"/>
        <w:bidi w:val="0"/>
        <w:snapToGrid w:val="false"/>
        <w:spacing w:before="0" w:after="60"/>
        <w:jc w:val="both"/>
        <w:rPr>
          <w:rFonts w:ascii="Times New Roman" w:hAnsi="Times New Roman" w:cs="Times New Roman"/>
          <w:b w:val="false"/>
          <w:b w:val="false"/>
          <w:bCs w:val="false"/>
          <w:sz w:val="26"/>
          <w:szCs w:val="26"/>
        </w:rPr>
      </w:pPr>
      <w:r>
        <w:rPr>
          <w:rFonts w:cs="Times New Roman" w:ascii="Times New Roman" w:hAnsi="Times New Roman"/>
          <w:b w:val="false"/>
          <w:bCs w:val="false"/>
          <w:sz w:val="26"/>
          <w:szCs w:val="26"/>
        </w:rPr>
      </w:r>
    </w:p>
    <w:p>
      <w:pPr>
        <w:pStyle w:val="Normal"/>
        <w:bidi w:val="0"/>
        <w:snapToGrid w:val="false"/>
        <w:spacing w:before="0" w:after="60"/>
        <w:jc w:val="both"/>
        <w:rPr>
          <w:rFonts w:ascii="Times New Roman" w:hAnsi="Times New Roman" w:cs="Times New Roman"/>
          <w:b w:val="false"/>
          <w:b w:val="false"/>
          <w:bCs w:val="false"/>
          <w:sz w:val="26"/>
          <w:szCs w:val="26"/>
        </w:rPr>
      </w:pPr>
      <w:r>
        <w:rPr>
          <w:rFonts w:cs="Times New Roman" w:ascii="Times New Roman" w:hAnsi="Times New Roman"/>
          <w:b w:val="false"/>
          <w:bCs w:val="false"/>
          <w:sz w:val="26"/>
          <w:szCs w:val="26"/>
        </w:rPr>
      </w:r>
    </w:p>
    <w:p>
      <w:pPr>
        <w:pStyle w:val="Normal"/>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t xml:space="preserve"> </w:t>
      </w:r>
    </w:p>
    <w:p>
      <w:pPr>
        <w:pStyle w:val="Standard"/>
        <w:widowControl w:val="false"/>
        <w:suppressAutoHyphens w:val="true"/>
        <w:bidi w:val="0"/>
        <w:snapToGrid w:val="false"/>
        <w:spacing w:before="0" w:after="0"/>
        <w:ind w:left="0" w:right="0" w:hanging="0"/>
        <w:jc w:val="left"/>
        <w:textAlignment w:val="baseline"/>
        <w:rPr>
          <w:rFonts w:ascii="Times New Roman" w:hAnsi="Times New Roman" w:cs="Times New Roman"/>
          <w:b w:val="false"/>
          <w:b w:val="false"/>
          <w:bCs w:val="false"/>
          <w:sz w:val="26"/>
          <w:szCs w:val="26"/>
        </w:rPr>
      </w:pPr>
      <w:r>
        <w:rPr>
          <w:rFonts w:cs="Times New Roman"/>
          <w:b w:val="false"/>
          <w:bCs w:val="false"/>
          <w:sz w:val="26"/>
          <w:szCs w:val="26"/>
        </w:rPr>
      </w:r>
    </w:p>
    <w:p>
      <w:pPr>
        <w:pStyle w:val="Normal"/>
        <w:bidi w:val="0"/>
        <w:snapToGrid w:val="false"/>
        <w:spacing w:before="0" w:after="60"/>
        <w:jc w:val="both"/>
        <w:rPr>
          <w:rFonts w:ascii="Times New Roman" w:hAnsi="Times New Roman" w:cs="Times New Roman"/>
          <w:b w:val="false"/>
          <w:b w:val="false"/>
          <w:bCs w:val="false"/>
          <w:sz w:val="26"/>
          <w:szCs w:val="26"/>
        </w:rPr>
      </w:pPr>
      <w:r>
        <w:rPr>
          <w:rFonts w:cs="Times New Roman" w:ascii="Times New Roman" w:hAnsi="Times New Roman"/>
          <w:b w:val="false"/>
          <w:bCs w:val="false"/>
          <w:sz w:val="26"/>
          <w:szCs w:val="26"/>
        </w:rPr>
      </w:r>
    </w:p>
    <w:p>
      <w:pPr>
        <w:pStyle w:val="Normal"/>
        <w:bidi w:val="0"/>
        <w:snapToGrid w:val="false"/>
        <w:spacing w:before="0" w:after="60"/>
        <w:jc w:val="both"/>
        <w:rPr>
          <w:rFonts w:ascii="Times New Roman" w:hAnsi="Times New Roman" w:cs="Times New Roman"/>
          <w:b w:val="false"/>
          <w:b w:val="false"/>
          <w:bCs w:val="false"/>
          <w:sz w:val="26"/>
          <w:szCs w:val="26"/>
        </w:rPr>
      </w:pPr>
      <w:r>
        <w:rPr>
          <w:rFonts w:cs="Times New Roman" w:ascii="Times New Roman" w:hAnsi="Times New Roman"/>
          <w:b w:val="false"/>
          <w:bCs w:val="false"/>
          <w:sz w:val="26"/>
          <w:szCs w:val="26"/>
        </w:rPr>
      </w:r>
    </w:p>
    <w:p>
      <w:pPr>
        <w:pStyle w:val="Normal"/>
        <w:bidi w:val="0"/>
        <w:snapToGrid w:val="false"/>
        <w:spacing w:before="0" w:after="60"/>
        <w:jc w:val="both"/>
        <w:rPr>
          <w:rFonts w:ascii="Times New Roman" w:hAnsi="Times New Roman" w:cs="Times New Roman"/>
          <w:b w:val="false"/>
          <w:b w:val="false"/>
          <w:bCs w:val="false"/>
          <w:sz w:val="26"/>
          <w:szCs w:val="26"/>
        </w:rPr>
      </w:pPr>
      <w:r>
        <w:rPr>
          <w:rFonts w:cs="Times New Roman" w:ascii="Times New Roman" w:hAnsi="Times New Roman"/>
          <w:b w:val="false"/>
          <w:bCs w:val="false"/>
          <w:sz w:val="26"/>
          <w:szCs w:val="26"/>
        </w:rPr>
      </w:r>
    </w:p>
    <w:p>
      <w:pPr>
        <w:pStyle w:val="Normal"/>
        <w:bidi w:val="0"/>
        <w:snapToGrid w:val="false"/>
        <w:spacing w:before="0" w:after="60"/>
        <w:jc w:val="both"/>
        <w:rPr>
          <w:rFonts w:ascii="Times New Roman" w:hAnsi="Times New Roman" w:cs="Times New Roman"/>
          <w:b w:val="false"/>
          <w:b w:val="false"/>
          <w:bCs w:val="false"/>
          <w:sz w:val="26"/>
          <w:szCs w:val="26"/>
        </w:rPr>
      </w:pPr>
      <w:r>
        <w:rPr>
          <w:rFonts w:cs="Times New Roman" w:ascii="Times New Roman" w:hAnsi="Times New Roman"/>
          <w:b w:val="false"/>
          <w:bCs w:val="false"/>
          <w:sz w:val="26"/>
          <w:szCs w:val="26"/>
        </w:rPr>
      </w:r>
    </w:p>
    <w:p>
      <w:pPr>
        <w:pStyle w:val="Normal"/>
        <w:bidi w:val="0"/>
        <w:snapToGrid w:val="false"/>
        <w:spacing w:before="0" w:after="60"/>
        <w:jc w:val="both"/>
        <w:rPr>
          <w:rFonts w:ascii="Times New Roman" w:hAnsi="Times New Roman" w:cs="Times New Roman"/>
          <w:b w:val="false"/>
          <w:b w:val="false"/>
          <w:bCs w:val="false"/>
          <w:sz w:val="26"/>
          <w:szCs w:val="26"/>
        </w:rPr>
      </w:pPr>
      <w:r>
        <w:rPr>
          <w:rFonts w:cs="Times New Roman" w:ascii="Times New Roman" w:hAnsi="Times New Roman"/>
          <w:b w:val="false"/>
          <w:bCs w:val="false"/>
          <w:sz w:val="26"/>
          <w:szCs w:val="26"/>
        </w:rPr>
      </w:r>
    </w:p>
    <w:p>
      <w:pPr>
        <w:pStyle w:val="Normal"/>
        <w:bidi w:val="0"/>
        <w:snapToGrid w:val="false"/>
        <w:spacing w:before="0" w:after="60"/>
        <w:jc w:val="both"/>
        <w:rPr>
          <w:rFonts w:ascii="Times New Roman" w:hAnsi="Times New Roman" w:cs="Times New Roman"/>
          <w:b w:val="false"/>
          <w:b w:val="false"/>
          <w:bCs w:val="false"/>
          <w:sz w:val="26"/>
          <w:szCs w:val="26"/>
        </w:rPr>
      </w:pPr>
      <w:r>
        <w:rPr>
          <w:rFonts w:cs="Times New Roman" w:ascii="Times New Roman" w:hAnsi="Times New Roman"/>
          <w:b w:val="false"/>
          <w:bCs w:val="false"/>
          <w:sz w:val="26"/>
          <w:szCs w:val="26"/>
        </w:rPr>
      </w:r>
    </w:p>
    <w:p>
      <w:pPr>
        <w:pStyle w:val="Normal"/>
        <w:bidi w:val="0"/>
        <w:snapToGrid w:val="false"/>
        <w:spacing w:before="0" w:after="60"/>
        <w:jc w:val="both"/>
        <w:rPr>
          <w:b w:val="false"/>
          <w:b w:val="false"/>
          <w:bCs w:val="false"/>
          <w:lang w:val="ru-RU"/>
        </w:rPr>
      </w:pPr>
      <w:r>
        <w:rPr>
          <w:b w:val="false"/>
          <w:bCs w:val="false"/>
          <w:lang w:val="ru-RU"/>
        </w:rPr>
      </w:r>
    </w:p>
    <w:p>
      <w:pPr>
        <w:pStyle w:val="Normal"/>
        <w:bidi w:val="0"/>
        <w:snapToGrid w:val="false"/>
        <w:spacing w:before="0" w:after="60"/>
        <w:jc w:val="both"/>
        <w:rPr>
          <w:rFonts w:ascii="Times New Roman" w:hAnsi="Times New Roman" w:eastAsia="Times New Roman" w:cs="Times New Roman"/>
          <w:b w:val="false"/>
          <w:b w:val="false"/>
          <w:bCs w:val="false"/>
          <w:sz w:val="26"/>
          <w:szCs w:val="26"/>
        </w:rPr>
      </w:pPr>
      <w:r>
        <w:rPr>
          <w:rFonts w:eastAsia="Times New Roman" w:cs="Times New Roman" w:ascii="Times New Roman" w:hAnsi="Times New Roman"/>
          <w:b w:val="false"/>
          <w:bCs w:val="false"/>
          <w:sz w:val="26"/>
          <w:szCs w:val="26"/>
        </w:rPr>
      </w:r>
    </w:p>
    <w:p>
      <w:pPr>
        <w:pStyle w:val="Normal"/>
        <w:bidi w:val="0"/>
        <w:snapToGrid w:val="false"/>
        <w:spacing w:before="0" w:after="60"/>
        <w:jc w:val="both"/>
        <w:rPr>
          <w:rFonts w:ascii="Times New Roman" w:hAnsi="Times New Roman" w:eastAsia="Times New Roman" w:cs="Times New Roman"/>
          <w:b w:val="false"/>
          <w:b w:val="false"/>
          <w:bCs w:val="false"/>
          <w:sz w:val="26"/>
          <w:szCs w:val="26"/>
        </w:rPr>
      </w:pPr>
      <w:r>
        <w:rPr>
          <w:rFonts w:eastAsia="Times New Roman" w:cs="Times New Roman" w:ascii="Times New Roman" w:hAnsi="Times New Roman"/>
          <w:b w:val="false"/>
          <w:bCs w:val="false"/>
          <w:sz w:val="26"/>
          <w:szCs w:val="26"/>
        </w:rPr>
      </w:r>
    </w:p>
    <w:p>
      <w:pPr>
        <w:pStyle w:val="Normal"/>
        <w:bidi w:val="0"/>
        <w:snapToGrid w:val="false"/>
        <w:spacing w:before="0" w:after="60"/>
        <w:jc w:val="both"/>
        <w:rPr>
          <w:rFonts w:ascii="Times New Roman" w:hAnsi="Times New Roman" w:eastAsia="Times New Roman" w:cs="Times New Roman"/>
          <w:b w:val="false"/>
          <w:b w:val="false"/>
          <w:bCs w:val="false"/>
          <w:sz w:val="26"/>
          <w:szCs w:val="26"/>
        </w:rPr>
      </w:pPr>
      <w:r>
        <w:rPr>
          <w:rFonts w:eastAsia="Times New Roman" w:cs="Times New Roman" w:ascii="Times New Roman" w:hAnsi="Times New Roman"/>
          <w:b w:val="false"/>
          <w:bCs w:val="false"/>
          <w:sz w:val="26"/>
          <w:szCs w:val="26"/>
        </w:rPr>
      </w:r>
    </w:p>
    <w:p>
      <w:pPr>
        <w:pStyle w:val="Normal"/>
        <w:bidi w:val="0"/>
        <w:snapToGrid w:val="false"/>
        <w:spacing w:before="0" w:after="60"/>
        <w:jc w:val="both"/>
        <w:rPr>
          <w:rFonts w:ascii="Times New Roman" w:hAnsi="Times New Roman" w:eastAsia="Times New Roman" w:cs="Times New Roman"/>
          <w:b w:val="false"/>
          <w:b w:val="false"/>
          <w:bCs w:val="false"/>
          <w:sz w:val="26"/>
          <w:szCs w:val="26"/>
        </w:rPr>
      </w:pPr>
      <w:r>
        <w:rPr>
          <w:rFonts w:eastAsia="Times New Roman" w:cs="Times New Roman" w:ascii="Times New Roman" w:hAnsi="Times New Roman"/>
          <w:b w:val="false"/>
          <w:bCs w:val="false"/>
          <w:sz w:val="26"/>
          <w:szCs w:val="26"/>
        </w:rPr>
      </w:r>
    </w:p>
    <w:p>
      <w:pPr>
        <w:pStyle w:val="Normal"/>
        <w:bidi w:val="0"/>
        <w:snapToGrid w:val="false"/>
        <w:spacing w:before="0" w:after="60"/>
        <w:jc w:val="both"/>
        <w:rPr>
          <w:rFonts w:ascii="Times New Roman" w:hAnsi="Times New Roman" w:eastAsia="Times New Roman" w:cs="Times New Roman"/>
          <w:b w:val="false"/>
          <w:b w:val="false"/>
          <w:bCs w:val="false"/>
          <w:sz w:val="26"/>
          <w:szCs w:val="26"/>
        </w:rPr>
      </w:pPr>
      <w:r>
        <w:rPr>
          <w:rFonts w:eastAsia="Times New Roman" w:cs="Times New Roman" w:ascii="Times New Roman" w:hAnsi="Times New Roman"/>
          <w:b w:val="false"/>
          <w:bCs w:val="false"/>
          <w:sz w:val="26"/>
          <w:szCs w:val="26"/>
        </w:rPr>
      </w:r>
    </w:p>
    <w:p>
      <w:pPr>
        <w:pStyle w:val="Normal"/>
        <w:bidi w:val="0"/>
        <w:snapToGrid w:val="false"/>
        <w:spacing w:before="0" w:after="60"/>
        <w:jc w:val="both"/>
        <w:rPr>
          <w:rFonts w:ascii="Times New Roman" w:hAnsi="Times New Roman" w:eastAsia="Times New Roman" w:cs="Times New Roman"/>
          <w:b w:val="false"/>
          <w:b w:val="false"/>
          <w:bCs w:val="false"/>
          <w:sz w:val="26"/>
          <w:szCs w:val="26"/>
        </w:rPr>
      </w:pPr>
      <w:r>
        <w:rPr>
          <w:rFonts w:eastAsia="Times New Roman" w:cs="Times New Roman" w:ascii="Times New Roman" w:hAnsi="Times New Roman"/>
          <w:b w:val="false"/>
          <w:bCs w:val="false"/>
          <w:sz w:val="26"/>
          <w:szCs w:val="26"/>
        </w:rPr>
      </w:r>
    </w:p>
    <w:p>
      <w:pPr>
        <w:pStyle w:val="Normal"/>
        <w:bidi w:val="0"/>
        <w:snapToGrid w:val="false"/>
        <w:spacing w:before="0" w:after="60"/>
        <w:jc w:val="both"/>
        <w:rPr>
          <w:rFonts w:ascii="Times New Roman" w:hAnsi="Times New Roman" w:eastAsia="Times New Roman" w:cs="Times New Roman"/>
          <w:b w:val="false"/>
          <w:b w:val="false"/>
          <w:bCs w:val="false"/>
          <w:sz w:val="26"/>
          <w:szCs w:val="26"/>
        </w:rPr>
      </w:pPr>
      <w:r>
        <w:rPr>
          <w:rFonts w:eastAsia="Times New Roman" w:cs="Times New Roman" w:ascii="Times New Roman" w:hAnsi="Times New Roman"/>
          <w:b w:val="false"/>
          <w:bCs w:val="false"/>
          <w:sz w:val="26"/>
          <w:szCs w:val="26"/>
        </w:rPr>
      </w:r>
    </w:p>
    <w:p>
      <w:pPr>
        <w:pStyle w:val="Normal"/>
        <w:bidi w:val="0"/>
        <w:snapToGrid w:val="false"/>
        <w:spacing w:before="0" w:after="60"/>
        <w:jc w:val="both"/>
        <w:rPr>
          <w:rFonts w:ascii="Times New Roman" w:hAnsi="Times New Roman" w:eastAsia="Times New Roman" w:cs="Times New Roman"/>
          <w:b w:val="false"/>
          <w:b w:val="false"/>
          <w:bCs w:val="false"/>
          <w:sz w:val="26"/>
          <w:szCs w:val="26"/>
        </w:rPr>
      </w:pPr>
      <w:r>
        <w:rPr>
          <w:rFonts w:eastAsia="Times New Roman" w:cs="Times New Roman" w:ascii="Times New Roman" w:hAnsi="Times New Roman"/>
          <w:b w:val="false"/>
          <w:bCs w:val="false"/>
          <w:sz w:val="26"/>
          <w:szCs w:val="26"/>
        </w:rPr>
      </w:r>
    </w:p>
    <w:p>
      <w:pPr>
        <w:pStyle w:val="Normal"/>
        <w:bidi w:val="0"/>
        <w:snapToGrid w:val="false"/>
        <w:spacing w:before="0" w:after="60"/>
        <w:jc w:val="both"/>
        <w:rPr>
          <w:rFonts w:ascii="Times New Roman" w:hAnsi="Times New Roman" w:eastAsia="Times New Roman" w:cs="Times New Roman"/>
          <w:b w:val="false"/>
          <w:b w:val="false"/>
          <w:bCs w:val="false"/>
          <w:sz w:val="26"/>
          <w:szCs w:val="26"/>
        </w:rPr>
      </w:pPr>
      <w:r>
        <w:rPr>
          <w:rFonts w:eastAsia="Times New Roman" w:cs="Times New Roman" w:ascii="Times New Roman" w:hAnsi="Times New Roman"/>
          <w:b w:val="false"/>
          <w:bCs w:val="false"/>
          <w:sz w:val="26"/>
          <w:szCs w:val="26"/>
        </w:rPr>
      </w:r>
    </w:p>
    <w:p>
      <w:pPr>
        <w:pStyle w:val="Normal"/>
        <w:bidi w:val="0"/>
        <w:snapToGrid w:val="false"/>
        <w:spacing w:before="0" w:after="60"/>
        <w:jc w:val="center"/>
        <w:rPr/>
      </w:pPr>
      <w:r>
        <w:rPr>
          <w:rFonts w:eastAsia="Times New Roman" w:cs="Times New Roman" w:ascii="Times New Roman" w:hAnsi="Times New Roman"/>
          <w:b w:val="false"/>
          <w:bCs w:val="false"/>
          <w:sz w:val="26"/>
          <w:szCs w:val="26"/>
        </w:rPr>
        <w:t xml:space="preserve"> </w:t>
      </w:r>
      <w:r>
        <w:rPr>
          <w:rFonts w:cs="Times New Roman" w:ascii="Times New Roman" w:hAnsi="Times New Roman"/>
          <w:b w:val="false"/>
          <w:bCs w:val="false"/>
          <w:sz w:val="26"/>
          <w:szCs w:val="26"/>
        </w:rPr>
        <w:t xml:space="preserve">Муниципальное бюджетное дошкольное образовательное учреждение </w:t>
      </w:r>
    </w:p>
    <w:p>
      <w:pPr>
        <w:pStyle w:val="1"/>
        <w:pBdr>
          <w:bottom w:val="single" w:sz="8" w:space="1" w:color="000000"/>
        </w:pBdr>
        <w:spacing w:before="0" w:after="0"/>
        <w:jc w:val="center"/>
        <w:rPr>
          <w:rFonts w:ascii="Times New Roman" w:hAnsi="Times New Roman" w:cs="Times New Roman"/>
          <w:b w:val="false"/>
          <w:b w:val="false"/>
          <w:bCs w:val="false"/>
          <w:sz w:val="26"/>
          <w:szCs w:val="26"/>
        </w:rPr>
      </w:pPr>
      <w:r>
        <w:rPr>
          <w:rFonts w:cs="Times New Roman" w:ascii="Times New Roman" w:hAnsi="Times New Roman"/>
          <w:b w:val="false"/>
          <w:bCs w:val="false"/>
          <w:sz w:val="26"/>
          <w:szCs w:val="26"/>
        </w:rPr>
        <w:t>«Детский сад  №157 г. Челябинска»</w:t>
      </w:r>
    </w:p>
    <w:p>
      <w:pPr>
        <w:pStyle w:val="Normal"/>
        <w:spacing w:lineRule="atLeast" w:line="100" w:before="0" w:after="0"/>
        <w:jc w:val="center"/>
        <w:rPr/>
      </w:pPr>
      <w:r>
        <w:rPr>
          <w:rFonts w:cs="Times New Roman" w:ascii="Times New Roman" w:hAnsi="Times New Roman"/>
          <w:b w:val="false"/>
          <w:bCs w:val="false"/>
          <w:sz w:val="22"/>
          <w:szCs w:val="22"/>
          <w:lang w:val="ru-RU"/>
        </w:rPr>
        <w:t xml:space="preserve">454080 Челябинск, ул. Татьяничевой, 12-в, тел. 8 (351)265-70-89, </w:t>
      </w:r>
      <w:r>
        <w:rPr>
          <w:rFonts w:cs="Times New Roman" w:ascii="Times New Roman" w:hAnsi="Times New Roman"/>
          <w:b w:val="false"/>
          <w:bCs w:val="false"/>
          <w:sz w:val="22"/>
          <w:szCs w:val="22"/>
          <w:lang w:val="en-US"/>
        </w:rPr>
        <w:t>e</w:t>
      </w:r>
      <w:r>
        <w:rPr>
          <w:rFonts w:cs="Times New Roman" w:ascii="Times New Roman" w:hAnsi="Times New Roman"/>
          <w:b w:val="false"/>
          <w:bCs w:val="false"/>
          <w:sz w:val="22"/>
          <w:szCs w:val="22"/>
          <w:lang w:val="ru-RU"/>
        </w:rPr>
        <w:t>-</w:t>
      </w:r>
      <w:r>
        <w:rPr>
          <w:rFonts w:cs="Times New Roman" w:ascii="Times New Roman" w:hAnsi="Times New Roman"/>
          <w:b w:val="false"/>
          <w:bCs w:val="false"/>
          <w:sz w:val="22"/>
          <w:szCs w:val="22"/>
          <w:lang w:val="en-US"/>
        </w:rPr>
        <w:t>mail</w:t>
      </w:r>
      <w:r>
        <w:rPr>
          <w:rFonts w:cs="Times New Roman" w:ascii="Times New Roman" w:hAnsi="Times New Roman"/>
          <w:b w:val="false"/>
          <w:bCs w:val="false"/>
          <w:sz w:val="22"/>
          <w:szCs w:val="22"/>
          <w:lang w:val="ru-RU"/>
        </w:rPr>
        <w:t>:</w:t>
      </w:r>
      <w:hyperlink r:id="rId19">
        <w:r>
          <w:rPr>
            <w:rFonts w:cs="Times New Roman" w:ascii="Times New Roman" w:hAnsi="Times New Roman"/>
            <w:b w:val="false"/>
            <w:bCs w:val="false"/>
            <w:sz w:val="22"/>
            <w:szCs w:val="22"/>
            <w:lang w:val="en-US"/>
          </w:rPr>
          <w:t>kinder</w:t>
        </w:r>
      </w:hyperlink>
      <w:hyperlink r:id="rId20">
        <w:r>
          <w:rPr>
            <w:rFonts w:cs="Times New Roman" w:ascii="Times New Roman" w:hAnsi="Times New Roman"/>
            <w:b w:val="false"/>
            <w:bCs w:val="false"/>
            <w:sz w:val="22"/>
            <w:szCs w:val="22"/>
            <w:lang w:val="ru-RU"/>
          </w:rPr>
          <w:t>157@</w:t>
        </w:r>
      </w:hyperlink>
      <w:hyperlink r:id="rId21">
        <w:r>
          <w:rPr>
            <w:rFonts w:cs="Times New Roman" w:ascii="Times New Roman" w:hAnsi="Times New Roman"/>
            <w:b w:val="false"/>
            <w:bCs w:val="false"/>
            <w:sz w:val="22"/>
            <w:szCs w:val="22"/>
            <w:lang w:val="en-US"/>
          </w:rPr>
          <w:t>yand</w:t>
        </w:r>
      </w:hyperlink>
      <w:hyperlink r:id="rId22">
        <w:r>
          <w:rPr>
            <w:rFonts w:cs="Times New Roman" w:ascii="Times New Roman" w:hAnsi="Times New Roman"/>
            <w:b w:val="false"/>
            <w:bCs w:val="false"/>
            <w:sz w:val="22"/>
            <w:szCs w:val="22"/>
            <w:u w:val="none"/>
            <w:lang w:val="en-US"/>
          </w:rPr>
          <w:t>ex</w:t>
        </w:r>
      </w:hyperlink>
    </w:p>
    <w:p>
      <w:pPr>
        <w:pStyle w:val="1"/>
        <w:bidi w:val="0"/>
        <w:snapToGrid w:val="false"/>
        <w:spacing w:before="0" w:after="0"/>
        <w:jc w:val="center"/>
        <w:rPr/>
      </w:pPr>
      <w:r>
        <w:rPr>
          <w:rStyle w:val="Style15"/>
          <w:rFonts w:eastAsia="Times New Roman" w:cs="Times New Roman" w:ascii="Times New Roman" w:hAnsi="Times New Roman"/>
          <w:b w:val="false"/>
          <w:bCs w:val="false"/>
          <w:color w:val="auto"/>
          <w:sz w:val="22"/>
          <w:szCs w:val="22"/>
          <w:u w:val="none"/>
          <w:lang w:val="en-US"/>
        </w:rPr>
        <w:t xml:space="preserve">                              </w:t>
      </w:r>
      <w:r>
        <w:rPr>
          <w:rStyle w:val="Style15"/>
          <w:rFonts w:cs="Times New Roman" w:ascii="Times New Roman" w:hAnsi="Times New Roman"/>
          <w:b w:val="false"/>
          <w:bCs w:val="false"/>
          <w:color w:val="auto"/>
          <w:sz w:val="22"/>
          <w:szCs w:val="22"/>
          <w:u w:val="none"/>
          <w:lang w:val="en-US"/>
        </w:rPr>
        <w:t xml:space="preserve">Челябинск, </w:t>
      </w:r>
      <w:r>
        <w:rPr>
          <w:rStyle w:val="Style15"/>
          <w:rFonts w:cs="Times New Roman" w:ascii="Times New Roman" w:hAnsi="Times New Roman"/>
          <w:b w:val="false"/>
          <w:bCs w:val="false"/>
          <w:color w:val="auto"/>
          <w:sz w:val="22"/>
          <w:szCs w:val="22"/>
          <w:u w:val="none"/>
          <w:lang w:val="ru-RU"/>
        </w:rPr>
        <w:t>ул..Витебская,  2-а, тел. 8(351) 265-70-89</w:t>
      </w:r>
    </w:p>
    <w:p>
      <w:pPr>
        <w:pStyle w:val="1"/>
        <w:widowControl w:val="false"/>
        <w:suppressAutoHyphens w:val="true"/>
        <w:bidi w:val="0"/>
        <w:snapToGrid w:val="false"/>
        <w:spacing w:before="0" w:after="0"/>
        <w:ind w:left="0" w:right="0" w:hanging="0"/>
        <w:jc w:val="center"/>
        <w:textAlignment w:val="baseline"/>
        <w:rPr>
          <w:b w:val="false"/>
          <w:b w:val="false"/>
          <w:bCs w:val="false"/>
          <w:lang w:val="ru-RU"/>
        </w:rPr>
      </w:pPr>
      <w:r>
        <w:rPr>
          <w:rStyle w:val="Style15"/>
          <w:rFonts w:eastAsia="Times New Roman" w:cs="Times New Roman" w:ascii="Times New Roman" w:hAnsi="Times New Roman"/>
          <w:b w:val="false"/>
          <w:bCs w:val="false"/>
          <w:color w:val="auto"/>
          <w:sz w:val="22"/>
          <w:szCs w:val="22"/>
          <w:u w:val="none"/>
          <w:lang w:val="ru-RU"/>
        </w:rPr>
        <w:t xml:space="preserve">  </w:t>
      </w:r>
      <w:r>
        <w:rPr>
          <w:rStyle w:val="Style15"/>
          <w:rFonts w:cs="Times New Roman" w:ascii="Times New Roman" w:hAnsi="Times New Roman"/>
          <w:b w:val="false"/>
          <w:bCs w:val="false"/>
          <w:color w:val="auto"/>
          <w:sz w:val="22"/>
          <w:szCs w:val="22"/>
          <w:u w:val="none"/>
          <w:lang w:val="ru-RU"/>
        </w:rPr>
        <w:t>Челябинск, ул. Витебска</w:t>
      </w:r>
      <w:r>
        <w:rPr>
          <w:rStyle w:val="Style15"/>
          <w:rFonts w:cs="Times New Roman" w:ascii="Times New Roman" w:hAnsi="Times New Roman"/>
          <w:b w:val="false"/>
          <w:bCs/>
          <w:color w:val="auto"/>
          <w:sz w:val="22"/>
          <w:szCs w:val="22"/>
          <w:u w:val="none"/>
          <w:lang w:val="ru-RU"/>
        </w:rPr>
        <w:t>я, 13</w:t>
      </w:r>
      <w:r>
        <w:rPr>
          <w:rFonts w:cs="Times New Roman" w:ascii="Times New Roman" w:hAnsi="Times New Roman"/>
          <w:b w:val="false"/>
          <w:bCs/>
          <w:sz w:val="22"/>
          <w:szCs w:val="22"/>
          <w:lang w:val="ru-RU"/>
        </w:rPr>
        <w:t xml:space="preserve">    </w:t>
      </w:r>
    </w:p>
    <w:p>
      <w:pPr>
        <w:pStyle w:val="Standard"/>
        <w:widowControl w:val="false"/>
        <w:suppressAutoHyphens w:val="true"/>
        <w:bidi w:val="0"/>
        <w:snapToGrid w:val="false"/>
        <w:spacing w:before="0" w:after="0"/>
        <w:ind w:firstLine="709"/>
        <w:jc w:val="center"/>
        <w:textAlignment w:val="baseline"/>
        <w:rPr>
          <w:rFonts w:ascii="Times New Roman" w:hAnsi="Times New Roman"/>
          <w:b w:val="false"/>
          <w:b w:val="false"/>
          <w:sz w:val="24"/>
          <w:szCs w:val="24"/>
        </w:rPr>
      </w:pPr>
      <w:r>
        <w:rPr>
          <w:b w:val="false"/>
          <w:sz w:val="24"/>
          <w:szCs w:val="24"/>
        </w:rPr>
      </w:r>
    </w:p>
    <w:p>
      <w:pPr>
        <w:pStyle w:val="Standard"/>
        <w:widowControl w:val="false"/>
        <w:suppressAutoHyphens w:val="true"/>
        <w:bidi w:val="0"/>
        <w:snapToGrid w:val="false"/>
        <w:spacing w:before="0" w:after="0"/>
        <w:ind w:firstLine="709"/>
        <w:jc w:val="center"/>
        <w:textAlignment w:val="baseline"/>
        <w:rPr>
          <w:rFonts w:ascii="Times New Roman" w:hAnsi="Times New Roman"/>
          <w:b w:val="false"/>
          <w:b w:val="false"/>
          <w:sz w:val="24"/>
          <w:szCs w:val="24"/>
        </w:rPr>
      </w:pPr>
      <w:r>
        <w:rPr>
          <w:b w:val="false"/>
          <w:sz w:val="24"/>
          <w:szCs w:val="24"/>
        </w:rPr>
      </w:r>
    </w:p>
    <w:p>
      <w:pPr>
        <w:pStyle w:val="Standard"/>
        <w:widowControl w:val="false"/>
        <w:suppressAutoHyphens w:val="true"/>
        <w:bidi w:val="0"/>
        <w:snapToGrid w:val="false"/>
        <w:spacing w:before="0" w:after="0"/>
        <w:ind w:firstLine="709"/>
        <w:jc w:val="center"/>
        <w:textAlignment w:val="baseline"/>
        <w:rPr>
          <w:rFonts w:ascii="Times New Roman" w:hAnsi="Times New Roman"/>
          <w:b w:val="false"/>
          <w:b w:val="false"/>
          <w:sz w:val="24"/>
          <w:szCs w:val="24"/>
        </w:rPr>
      </w:pPr>
      <w:r>
        <w:rPr>
          <w:b w:val="false"/>
          <w:sz w:val="24"/>
          <w:szCs w:val="24"/>
        </w:rPr>
      </w:r>
    </w:p>
    <w:p>
      <w:pPr>
        <w:pStyle w:val="Standard"/>
        <w:widowControl w:val="false"/>
        <w:suppressAutoHyphens w:val="true"/>
        <w:bidi w:val="0"/>
        <w:snapToGrid w:val="false"/>
        <w:spacing w:before="0" w:after="0"/>
        <w:ind w:firstLine="709"/>
        <w:jc w:val="center"/>
        <w:textAlignment w:val="baseline"/>
        <w:rPr>
          <w:rFonts w:ascii="Times New Roman" w:hAnsi="Times New Roman"/>
          <w:b w:val="false"/>
          <w:b w:val="false"/>
          <w:sz w:val="24"/>
          <w:szCs w:val="24"/>
        </w:rPr>
      </w:pPr>
      <w:r>
        <w:rPr>
          <w:b w:val="false"/>
          <w:sz w:val="24"/>
          <w:szCs w:val="24"/>
        </w:rPr>
      </w:r>
    </w:p>
    <w:p>
      <w:pPr>
        <w:pStyle w:val="Standard"/>
        <w:widowControl w:val="false"/>
        <w:suppressAutoHyphens w:val="true"/>
        <w:bidi w:val="0"/>
        <w:snapToGrid w:val="false"/>
        <w:spacing w:before="0" w:after="0"/>
        <w:ind w:firstLine="709"/>
        <w:jc w:val="center"/>
        <w:textAlignment w:val="baseline"/>
        <w:rPr>
          <w:rFonts w:ascii="Times New Roman" w:hAnsi="Times New Roman"/>
          <w:b w:val="false"/>
          <w:b w:val="false"/>
          <w:sz w:val="24"/>
          <w:szCs w:val="24"/>
        </w:rPr>
      </w:pPr>
      <w:r>
        <w:rPr>
          <w:b w:val="false"/>
          <w:sz w:val="24"/>
          <w:szCs w:val="24"/>
        </w:rPr>
      </w:r>
    </w:p>
    <w:p>
      <w:pPr>
        <w:pStyle w:val="Standard"/>
        <w:widowControl w:val="false"/>
        <w:suppressAutoHyphens w:val="true"/>
        <w:bidi w:val="0"/>
        <w:snapToGrid w:val="false"/>
        <w:spacing w:before="0" w:after="0"/>
        <w:ind w:firstLine="709"/>
        <w:jc w:val="center"/>
        <w:textAlignment w:val="baseline"/>
        <w:rPr>
          <w:rFonts w:ascii="Times New Roman" w:hAnsi="Times New Roman"/>
          <w:b w:val="false"/>
          <w:b w:val="false"/>
          <w:sz w:val="24"/>
          <w:szCs w:val="24"/>
        </w:rPr>
      </w:pPr>
      <w:r>
        <w:rPr>
          <w:b w:val="false"/>
          <w:sz w:val="24"/>
          <w:szCs w:val="24"/>
        </w:rPr>
      </w:r>
    </w:p>
    <w:p>
      <w:pPr>
        <w:pStyle w:val="Standard"/>
        <w:bidi w:val="0"/>
        <w:snapToGrid w:val="false"/>
        <w:spacing w:before="0" w:after="0"/>
        <w:ind w:hanging="0"/>
        <w:jc w:val="center"/>
        <w:rPr/>
      </w:pPr>
      <w:r>
        <w:rPr>
          <w:b/>
          <w:bCs/>
          <w:lang w:val="ru-RU"/>
        </w:rPr>
        <w:t>АКТ ВНУТРЕННЕГО КОНТРОЛЯ</w:t>
      </w:r>
    </w:p>
    <w:p>
      <w:pPr>
        <w:pStyle w:val="Standard"/>
        <w:bidi w:val="0"/>
        <w:snapToGrid w:val="false"/>
        <w:spacing w:before="0" w:after="0"/>
        <w:ind w:firstLine="709"/>
        <w:jc w:val="center"/>
        <w:rPr>
          <w:b w:val="false"/>
          <w:b w:val="false"/>
          <w:bCs w:val="false"/>
          <w:lang w:val="ru-RU"/>
        </w:rPr>
      </w:pPr>
      <w:r>
        <w:rPr>
          <w:b w:val="false"/>
          <w:bCs w:val="false"/>
          <w:lang w:val="ru-RU"/>
        </w:rPr>
      </w:r>
    </w:p>
    <w:p>
      <w:pPr>
        <w:pStyle w:val="Standard"/>
        <w:bidi w:val="0"/>
        <w:snapToGrid w:val="false"/>
        <w:spacing w:before="0" w:after="0"/>
        <w:ind w:hanging="0"/>
        <w:jc w:val="left"/>
        <w:rPr>
          <w:b w:val="false"/>
          <w:b w:val="false"/>
          <w:bCs w:val="false"/>
          <w:lang w:val="ru-RU"/>
        </w:rPr>
      </w:pPr>
      <w:r>
        <w:rPr>
          <w:b w:val="false"/>
          <w:bCs w:val="false"/>
          <w:lang w:val="ru-RU"/>
        </w:rPr>
        <w:t>Дата начала проверки: «07» февраля 2022 года.</w:t>
      </w:r>
    </w:p>
    <w:p>
      <w:pPr>
        <w:pStyle w:val="Standard"/>
        <w:bidi w:val="0"/>
        <w:snapToGrid w:val="false"/>
        <w:spacing w:before="0" w:after="0"/>
        <w:ind w:hanging="0"/>
        <w:jc w:val="left"/>
        <w:rPr>
          <w:b w:val="false"/>
          <w:b w:val="false"/>
          <w:bCs w:val="false"/>
          <w:lang w:val="ru-RU"/>
        </w:rPr>
      </w:pPr>
      <w:r>
        <w:rPr>
          <w:b w:val="false"/>
          <w:bCs w:val="false"/>
          <w:lang w:val="ru-RU"/>
        </w:rPr>
        <w:t>Дата завершения проверки: «07» февраля 2022 года.</w:t>
      </w:r>
    </w:p>
    <w:p>
      <w:pPr>
        <w:pStyle w:val="Standard"/>
        <w:bidi w:val="0"/>
        <w:snapToGrid w:val="false"/>
        <w:spacing w:before="0" w:after="0"/>
        <w:ind w:hanging="0"/>
        <w:jc w:val="left"/>
        <w:rPr>
          <w:b w:val="false"/>
          <w:b w:val="false"/>
          <w:bCs w:val="false"/>
          <w:lang w:val="ru-RU"/>
        </w:rPr>
      </w:pPr>
      <w:r>
        <w:rPr>
          <w:b w:val="false"/>
          <w:bCs w:val="false"/>
          <w:lang w:val="ru-RU"/>
        </w:rPr>
      </w:r>
    </w:p>
    <w:p>
      <w:pPr>
        <w:pStyle w:val="Standard"/>
        <w:bidi w:val="0"/>
        <w:snapToGrid w:val="false"/>
        <w:spacing w:before="0" w:after="0"/>
        <w:ind w:hanging="0"/>
        <w:jc w:val="left"/>
        <w:rPr>
          <w:b w:val="false"/>
          <w:b w:val="false"/>
          <w:bCs w:val="false"/>
          <w:lang w:val="ru-RU"/>
        </w:rPr>
      </w:pPr>
      <w:r>
        <w:rPr>
          <w:b w:val="false"/>
          <w:bCs w:val="false"/>
          <w:lang w:val="ru-RU"/>
        </w:rPr>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t xml:space="preserve">      </w:t>
      </w:r>
      <w:r>
        <w:rPr>
          <w:b w:val="false"/>
          <w:bCs w:val="false"/>
          <w:lang w:val="ru-RU"/>
        </w:rPr>
        <w:t xml:space="preserve">Настоящий акт составлен по результатам внутренней проверки по начислению </w:t>
      </w:r>
      <w:r>
        <w:rPr>
          <w:rFonts w:eastAsia="Andale Sans UI;Arial Unicode MS" w:cs="Tahoma"/>
          <w:b w:val="false"/>
          <w:bCs w:val="false"/>
          <w:color w:val="auto"/>
          <w:kern w:val="2"/>
          <w:sz w:val="24"/>
          <w:szCs w:val="24"/>
          <w:lang w:val="ru-RU" w:eastAsia="ja-JP" w:bidi="fa-IR"/>
        </w:rPr>
        <w:t>выплат компенсационного характера и стимулирующих выплат в МБДОУ</w:t>
      </w:r>
      <w:r>
        <w:rPr>
          <w:b w:val="false"/>
          <w:bCs w:val="false"/>
          <w:lang w:val="ru-RU"/>
        </w:rPr>
        <w:t xml:space="preserve"> в </w:t>
      </w:r>
      <w:r>
        <w:rPr>
          <w:rFonts w:eastAsia="Andale Sans UI;Arial Unicode MS" w:cs="Tahoma"/>
          <w:b w:val="false"/>
          <w:bCs w:val="false"/>
          <w:color w:val="auto"/>
          <w:kern w:val="2"/>
          <w:sz w:val="24"/>
          <w:szCs w:val="24"/>
          <w:lang w:val="ru-RU" w:eastAsia="ja-JP" w:bidi="fa-IR"/>
        </w:rPr>
        <w:t xml:space="preserve">2021 </w:t>
      </w:r>
      <w:r>
        <w:rPr>
          <w:b w:val="false"/>
          <w:bCs w:val="false"/>
          <w:lang w:val="ru-RU"/>
        </w:rPr>
        <w:t>году.</w:t>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t xml:space="preserve">        </w:t>
      </w:r>
      <w:r>
        <w:rPr>
          <w:b w:val="false"/>
          <w:bCs w:val="false"/>
          <w:lang w:val="ru-RU"/>
        </w:rPr>
        <w:t xml:space="preserve">В ходе проверки установлено, что у </w:t>
      </w:r>
      <w:r>
        <w:rPr>
          <w:rFonts w:eastAsia="Andale Sans UI;Arial Unicode MS" w:cs="Tahoma"/>
          <w:b w:val="false"/>
          <w:bCs w:val="false"/>
          <w:color w:val="auto"/>
          <w:kern w:val="2"/>
          <w:sz w:val="24"/>
          <w:szCs w:val="24"/>
          <w:lang w:val="ru-RU" w:eastAsia="ja-JP" w:bidi="fa-IR"/>
        </w:rPr>
        <w:t>некоторых совместителей не начислялась выплата за присмотр и уход за детьми в размере 15% в 2021 году. Необходимо произвести выплату с 01.01.2021 по 01.01.2022 год.</w:t>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rFonts w:eastAsia="Andale Sans UI;Arial Unicode MS" w:cs="Tahoma"/>
          <w:b w:val="false"/>
          <w:bCs w:val="false"/>
          <w:color w:val="auto"/>
          <w:kern w:val="2"/>
          <w:sz w:val="24"/>
          <w:szCs w:val="24"/>
          <w:lang w:val="ru-RU" w:eastAsia="ja-JP" w:bidi="fa-IR"/>
        </w:rPr>
        <w:t xml:space="preserve">        </w:t>
      </w:r>
      <w:r>
        <w:rPr>
          <w:rFonts w:eastAsia="Andale Sans UI;Arial Unicode MS" w:cs="Tahoma"/>
          <w:b w:val="false"/>
          <w:bCs w:val="false"/>
          <w:color w:val="auto"/>
          <w:kern w:val="2"/>
          <w:sz w:val="24"/>
          <w:szCs w:val="24"/>
          <w:lang w:val="ru-RU" w:eastAsia="ja-JP" w:bidi="fa-IR"/>
        </w:rPr>
        <w:t>Также в ходе проверки установлено, что у помощника воспитателя Ордиевой И.А. начислялось 15% за стаж работы с детьми. Необходимо произвести выплату в размере 20% с 01.11.2021 года.</w:t>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r>
    </w:p>
    <w:p>
      <w:pPr>
        <w:pStyle w:val="Standard"/>
        <w:widowControl w:val="false"/>
        <w:suppressAutoHyphens w:val="true"/>
        <w:bidi w:val="0"/>
        <w:snapToGrid w:val="false"/>
        <w:spacing w:before="0" w:after="0"/>
        <w:ind w:left="0" w:right="0" w:hanging="0"/>
        <w:jc w:val="left"/>
        <w:textAlignment w:val="baseline"/>
        <w:rPr>
          <w:b w:val="false"/>
          <w:b w:val="false"/>
          <w:bCs w:val="false"/>
          <w:lang w:val="ru-RU"/>
        </w:rPr>
      </w:pPr>
      <w:r>
        <w:rPr>
          <w:b w:val="false"/>
          <w:bCs w:val="false"/>
          <w:lang w:val="ru-RU"/>
        </w:rPr>
        <w:t>Главный бухгалтер                                             Д.А.Сташевская</w:t>
      </w:r>
    </w:p>
    <w:p>
      <w:pPr>
        <w:pStyle w:val="Normal"/>
        <w:widowControl w:val="false"/>
        <w:suppressAutoHyphens w:val="true"/>
        <w:bidi w:val="0"/>
        <w:snapToGrid w:val="false"/>
        <w:spacing w:before="0" w:after="60"/>
        <w:ind w:left="0" w:right="0" w:hanging="0"/>
        <w:jc w:val="both"/>
        <w:textAlignment w:val="baseline"/>
        <w:rPr>
          <w:rFonts w:ascii="Times New Roman" w:hAnsi="Times New Roman"/>
          <w:b w:val="false"/>
          <w:b w:val="false"/>
          <w:sz w:val="24"/>
          <w:szCs w:val="24"/>
        </w:rPr>
      </w:pPr>
      <w:r>
        <w:rPr/>
      </w:r>
    </w:p>
    <w:sectPr>
      <w:footerReference w:type="default" r:id="rId23"/>
      <w:type w:val="nextPage"/>
      <w:pgSz w:w="11906" w:h="16838"/>
      <w:pgMar w:left="1701" w:right="850" w:header="0" w:top="719" w:footer="708" w:bottom="765"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
    <w:charset w:val="cc"/>
    <w:family w:val="swiss"/>
    <w:pitch w:val="variable"/>
  </w:font>
  <w:font w:name="Cambria">
    <w:charset w:val="cc"/>
    <w:family w:val="roman"/>
    <w:pitch w:val="variable"/>
  </w:font>
  <w:font w:name="Times New Roman">
    <w:charset w:val="cc"/>
    <w:family w:val="roman"/>
    <w:pitch w:val="variable"/>
  </w:font>
  <w:font w:name="Liberation Sans">
    <w:altName w:val="Arial"/>
    <w:charset w:val="cc"/>
    <w:family w:val="roman"/>
    <w:pitch w:val="variable"/>
  </w:font>
  <w:font w:name="Courier New">
    <w:charset w:val="cc"/>
    <w:family w:val="roman"/>
    <w:pitch w:val="variable"/>
  </w:font>
  <w:font w:name="Arial">
    <w:charset w:val="cc"/>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8"/>
      <w:ind w:right="360" w:hanging="0"/>
      <w:rPr/>
    </w:pPr>
    <w:r>
      <w:rPr/>
      <mc:AlternateContent>
        <mc:Choice Requires="wps">
          <w:drawing>
            <wp:anchor behindDoc="1" distT="0" distB="0" distL="0" distR="0" simplePos="0" locked="0" layoutInCell="0" allowOverlap="1" relativeHeight="46">
              <wp:simplePos x="0" y="0"/>
              <wp:positionH relativeFrom="margin">
                <wp:align>right</wp:align>
              </wp:positionH>
              <wp:positionV relativeFrom="paragraph">
                <wp:posOffset>635</wp:posOffset>
              </wp:positionV>
              <wp:extent cx="154940" cy="174625"/>
              <wp:effectExtent l="0" t="0" r="0" b="0"/>
              <wp:wrapSquare wrapText="bothSides"/>
              <wp:docPr id="1" name="Врезка1"/>
              <a:graphic xmlns:a="http://schemas.openxmlformats.org/drawingml/2006/main">
                <a:graphicData uri="http://schemas.microsoft.com/office/word/2010/wordprocessingShape">
                  <wps:wsp>
                    <wps:cNvSpPr/>
                    <wps:spPr>
                      <a:xfrm>
                        <a:off x="0" y="0"/>
                        <a:ext cx="154440" cy="173880"/>
                      </a:xfrm>
                      <a:prstGeom prst="rect">
                        <a:avLst/>
                      </a:prstGeom>
                      <a:noFill/>
                      <a:ln w="0">
                        <a:noFill/>
                      </a:ln>
                    </wps:spPr>
                    <wps:style>
                      <a:lnRef idx="0"/>
                      <a:fillRef idx="0"/>
                      <a:effectRef idx="0"/>
                      <a:fontRef idx="minor"/>
                    </wps:style>
                    <wps:txbx>
                      <w:txbxContent>
                        <w:p>
                          <w:pPr>
                            <w:pStyle w:val="Style28"/>
                            <w:rPr>
                              <w:rStyle w:val="Pagenumber"/>
                            </w:rPr>
                          </w:pPr>
                          <w:r>
                            <w:rPr>
                              <w:rStyle w:val="Pagenumber"/>
                              <w:color w:val="000000"/>
                            </w:rPr>
                            <w:fldChar w:fldCharType="begin"/>
                          </w:r>
                          <w:r>
                            <w:rPr>
                              <w:rStyle w:val="Pagenumber"/>
                              <w:color w:val="000000"/>
                            </w:rPr>
                            <w:instrText> PAGE </w:instrText>
                          </w:r>
                          <w:r>
                            <w:rPr>
                              <w:rStyle w:val="Pagenumber"/>
                              <w:color w:val="000000"/>
                            </w:rPr>
                            <w:fldChar w:fldCharType="separate"/>
                          </w:r>
                          <w:r>
                            <w:rPr>
                              <w:rStyle w:val="Pagenumber"/>
                              <w:color w:val="000000"/>
                            </w:rPr>
                            <w:t>45</w:t>
                          </w:r>
                          <w:r>
                            <w:rPr>
                              <w:rStyle w:val="Pagenumber"/>
                              <w:color w:val="000000"/>
                            </w:rPr>
                            <w:fldChar w:fldCharType="end"/>
                          </w:r>
                        </w:p>
                      </w:txbxContent>
                    </wps:txbx>
                    <wps:bodyPr lIns="0" rIns="0" tIns="0" bIns="0">
                      <a:spAutoFit/>
                    </wps:bodyPr>
                  </wps:wsp>
                </a:graphicData>
              </a:graphic>
            </wp:anchor>
          </w:drawing>
        </mc:Choice>
        <mc:Fallback>
          <w:pict>
            <v:rect id="shape_0" ID="Врезка1" stroked="f" style="position:absolute;margin-left:455.55pt;margin-top:0.05pt;width:12.1pt;height:13.65pt;mso-wrap-style:square;v-text-anchor:top;mso-position-horizontal:right;mso-position-horizontal-relative:margin">
              <v:fill o:detectmouseclick="t" on="false"/>
              <v:stroke color="#3465a4" joinstyle="round" endcap="flat"/>
              <v:textbox>
                <w:txbxContent>
                  <w:p>
                    <w:pPr>
                      <w:pStyle w:val="Style28"/>
                      <w:rPr>
                        <w:rStyle w:val="Pagenumber"/>
                      </w:rPr>
                    </w:pPr>
                    <w:r>
                      <w:rPr>
                        <w:rStyle w:val="Pagenumber"/>
                        <w:color w:val="000000"/>
                      </w:rPr>
                      <w:fldChar w:fldCharType="begin"/>
                    </w:r>
                    <w:r>
                      <w:rPr>
                        <w:rStyle w:val="Pagenumber"/>
                        <w:color w:val="000000"/>
                      </w:rPr>
                      <w:instrText> PAGE </w:instrText>
                    </w:r>
                    <w:r>
                      <w:rPr>
                        <w:rStyle w:val="Pagenumber"/>
                        <w:color w:val="000000"/>
                      </w:rPr>
                      <w:fldChar w:fldCharType="separate"/>
                    </w:r>
                    <w:r>
                      <w:rPr>
                        <w:rStyle w:val="Pagenumber"/>
                        <w:color w:val="000000"/>
                      </w:rPr>
                      <w:t>45</w:t>
                    </w:r>
                    <w:r>
                      <w:rPr>
                        <w:rStyle w:val="Pagenumber"/>
                        <w:color w:val="000000"/>
                      </w:rPr>
                      <w:fldChar w:fldCharType="end"/>
                    </w:r>
                  </w:p>
                </w:txbxContent>
              </v:textbox>
              <w10:wrap type="squar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2">
    <w:lvl w:ilvl="0">
      <w:start w:val="1"/>
      <w:numFmt w:val="bullet"/>
      <w:lvlText w:val=""/>
      <w:lvlJc w:val="left"/>
      <w:pPr>
        <w:tabs>
          <w:tab w:val="num" w:pos="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3">
    <w:lvl w:ilvl="0">
      <w:start w:val="1"/>
      <w:numFmt w:val="bullet"/>
      <w:lvlText w:val=""/>
      <w:lvlJc w:val="left"/>
      <w:pPr>
        <w:tabs>
          <w:tab w:val="num" w:pos="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4">
    <w:lvl w:ilvl="0">
      <w:start w:val="1"/>
      <w:numFmt w:val="bullet"/>
      <w:lvlText w:val=""/>
      <w:lvlJc w:val="left"/>
      <w:pPr>
        <w:tabs>
          <w:tab w:val="num" w:pos="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5">
    <w:lvl w:ilvl="0">
      <w:start w:val="1"/>
      <w:numFmt w:val="bullet"/>
      <w:lvlText w:val=""/>
      <w:lvlJc w:val="left"/>
      <w:pPr>
        <w:tabs>
          <w:tab w:val="num" w:pos="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6">
    <w:lvl w:ilvl="0">
      <w:start w:val="1"/>
      <w:numFmt w:val="bullet"/>
      <w:lvlText w:val=""/>
      <w:lvlJc w:val="left"/>
      <w:pPr>
        <w:tabs>
          <w:tab w:val="num" w:pos="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7">
    <w:lvl w:ilvl="0">
      <w:start w:val="1"/>
      <w:numFmt w:val="bullet"/>
      <w:lvlText w:val=""/>
      <w:lvlJc w:val="left"/>
      <w:pPr>
        <w:tabs>
          <w:tab w:val="num" w:pos="0"/>
        </w:tabs>
        <w:ind w:left="644"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8">
    <w:lvl w:ilvl="0">
      <w:start w:val="1"/>
      <w:numFmt w:val="bullet"/>
      <w:lvlText w:val=""/>
      <w:lvlJc w:val="left"/>
      <w:pPr>
        <w:tabs>
          <w:tab w:val="num" w:pos="0"/>
        </w:tabs>
        <w:ind w:left="900" w:hanging="360"/>
      </w:pPr>
      <w:rPr>
        <w:rFonts w:ascii="Symbol" w:hAnsi="Symbol" w:cs="Symbol" w:hint="default"/>
      </w:rPr>
    </w:lvl>
    <w:lvl w:ilvl="1">
      <w:start w:val="1"/>
      <w:numFmt w:val="bullet"/>
      <w:lvlText w:val="o"/>
      <w:lvlJc w:val="left"/>
      <w:pPr>
        <w:tabs>
          <w:tab w:val="num" w:pos="0"/>
        </w:tabs>
        <w:ind w:left="1620" w:hanging="360"/>
      </w:pPr>
      <w:rPr>
        <w:rFonts w:ascii="Courier New" w:hAnsi="Courier New" w:cs="Courier New" w:hint="default"/>
      </w:rPr>
    </w:lvl>
    <w:lvl w:ilvl="2">
      <w:start w:val="1"/>
      <w:numFmt w:val="bullet"/>
      <w:lvlText w:val=""/>
      <w:lvlJc w:val="left"/>
      <w:pPr>
        <w:tabs>
          <w:tab w:val="num" w:pos="0"/>
        </w:tabs>
        <w:ind w:left="2340" w:hanging="360"/>
      </w:pPr>
      <w:rPr>
        <w:rFonts w:ascii="Wingdings" w:hAnsi="Wingdings" w:cs="Wingdings" w:hint="default"/>
      </w:rPr>
    </w:lvl>
    <w:lvl w:ilvl="3">
      <w:start w:val="1"/>
      <w:numFmt w:val="bullet"/>
      <w:lvlText w:val=""/>
      <w:lvlJc w:val="left"/>
      <w:pPr>
        <w:tabs>
          <w:tab w:val="num" w:pos="0"/>
        </w:tabs>
        <w:ind w:left="3060" w:hanging="360"/>
      </w:pPr>
      <w:rPr>
        <w:rFonts w:ascii="Symbol" w:hAnsi="Symbol" w:cs="Symbol" w:hint="default"/>
      </w:rPr>
    </w:lvl>
    <w:lvl w:ilvl="4">
      <w:start w:val="1"/>
      <w:numFmt w:val="bullet"/>
      <w:lvlText w:val="o"/>
      <w:lvlJc w:val="left"/>
      <w:pPr>
        <w:tabs>
          <w:tab w:val="num" w:pos="0"/>
        </w:tabs>
        <w:ind w:left="3780" w:hanging="360"/>
      </w:pPr>
      <w:rPr>
        <w:rFonts w:ascii="Courier New" w:hAnsi="Courier New" w:cs="Courier New" w:hint="default"/>
      </w:rPr>
    </w:lvl>
    <w:lvl w:ilvl="5">
      <w:start w:val="1"/>
      <w:numFmt w:val="bullet"/>
      <w:lvlText w:val=""/>
      <w:lvlJc w:val="left"/>
      <w:pPr>
        <w:tabs>
          <w:tab w:val="num" w:pos="0"/>
        </w:tabs>
        <w:ind w:left="4500" w:hanging="360"/>
      </w:pPr>
      <w:rPr>
        <w:rFonts w:ascii="Wingdings" w:hAnsi="Wingdings" w:cs="Wingdings" w:hint="default"/>
      </w:rPr>
    </w:lvl>
    <w:lvl w:ilvl="6">
      <w:start w:val="1"/>
      <w:numFmt w:val="bullet"/>
      <w:lvlText w:val=""/>
      <w:lvlJc w:val="left"/>
      <w:pPr>
        <w:tabs>
          <w:tab w:val="num" w:pos="0"/>
        </w:tabs>
        <w:ind w:left="5220" w:hanging="360"/>
      </w:pPr>
      <w:rPr>
        <w:rFonts w:ascii="Symbol" w:hAnsi="Symbol" w:cs="Symbol" w:hint="default"/>
      </w:rPr>
    </w:lvl>
    <w:lvl w:ilvl="7">
      <w:start w:val="1"/>
      <w:numFmt w:val="bullet"/>
      <w:lvlText w:val="o"/>
      <w:lvlJc w:val="left"/>
      <w:pPr>
        <w:tabs>
          <w:tab w:val="num" w:pos="0"/>
        </w:tabs>
        <w:ind w:left="5940" w:hanging="360"/>
      </w:pPr>
      <w:rPr>
        <w:rFonts w:ascii="Courier New" w:hAnsi="Courier New" w:cs="Courier New" w:hint="default"/>
      </w:rPr>
    </w:lvl>
    <w:lvl w:ilvl="8">
      <w:start w:val="1"/>
      <w:numFmt w:val="bullet"/>
      <w:lvlText w:val=""/>
      <w:lvlJc w:val="left"/>
      <w:pPr>
        <w:tabs>
          <w:tab w:val="num" w:pos="0"/>
        </w:tabs>
        <w:ind w:left="6660" w:hanging="360"/>
      </w:pPr>
      <w:rPr>
        <w:rFonts w:ascii="Wingdings" w:hAnsi="Wingdings" w:cs="Wingdings" w:hint="default"/>
      </w:rPr>
    </w:lvl>
  </w:abstractNum>
  <w:abstractNum w:abstractNumId="9">
    <w:lvl w:ilvl="0">
      <w:start w:val="1"/>
      <w:numFmt w:val="bullet"/>
      <w:lvlText w:val=""/>
      <w:lvlJc w:val="left"/>
      <w:pPr>
        <w:tabs>
          <w:tab w:val="num" w:pos="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10">
    <w:lvl w:ilvl="0">
      <w:start w:val="1"/>
      <w:numFmt w:val="bullet"/>
      <w:lvlText w:val=""/>
      <w:lvlJc w:val="left"/>
      <w:pPr>
        <w:tabs>
          <w:tab w:val="num" w:pos="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11">
    <w:lvl w:ilvl="0">
      <w:start w:val="1"/>
      <w:numFmt w:val="bullet"/>
      <w:lvlText w:val=""/>
      <w:lvlJc w:val="left"/>
      <w:pPr>
        <w:tabs>
          <w:tab w:val="num" w:pos="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12">
    <w:lvl w:ilvl="0">
      <w:start w:val="1"/>
      <w:numFmt w:val="bullet"/>
      <w:lvlText w:val=""/>
      <w:lvlJc w:val="left"/>
      <w:pPr>
        <w:tabs>
          <w:tab w:val="num" w:pos="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13">
    <w:lvl w:ilvl="0">
      <w:start w:val="1"/>
      <w:numFmt w:val="bullet"/>
      <w:lvlText w:val=""/>
      <w:lvlJc w:val="left"/>
      <w:pPr>
        <w:tabs>
          <w:tab w:val="num" w:pos="126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14">
    <w:lvl w:ilvl="0">
      <w:start w:val="1"/>
      <w:numFmt w:val="bullet"/>
      <w:lvlText w:val=""/>
      <w:lvlJc w:val="left"/>
      <w:pPr>
        <w:tabs>
          <w:tab w:val="num" w:pos="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15">
    <w:lvl w:ilvl="0">
      <w:start w:val="1"/>
      <w:numFmt w:val="bullet"/>
      <w:lvlText w:val=""/>
      <w:lvlJc w:val="left"/>
      <w:pPr>
        <w:tabs>
          <w:tab w:val="num" w:pos="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16">
    <w:lvl w:ilvl="0">
      <w:start w:val="1"/>
      <w:numFmt w:val="bullet"/>
      <w:lvlText w:val=""/>
      <w:lvlJc w:val="left"/>
      <w:pPr>
        <w:tabs>
          <w:tab w:val="num" w:pos="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17">
    <w:lvl w:ilvl="0">
      <w:start w:val="1"/>
      <w:numFmt w:val="bullet"/>
      <w:lvlText w:val=""/>
      <w:lvlJc w:val="left"/>
      <w:pPr>
        <w:tabs>
          <w:tab w:val="num" w:pos="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18">
    <w:lvl w:ilvl="0">
      <w:start w:val="1"/>
      <w:numFmt w:val="bullet"/>
      <w:lvlText w:val=""/>
      <w:lvlJc w:val="left"/>
      <w:pPr>
        <w:tabs>
          <w:tab w:val="num" w:pos="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19">
    <w:lvl w:ilvl="0">
      <w:start w:val="1"/>
      <w:numFmt w:val="bullet"/>
      <w:lvlText w:val=""/>
      <w:lvlJc w:val="left"/>
      <w:pPr>
        <w:tabs>
          <w:tab w:val="num" w:pos="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20">
    <w:lvl w:ilvl="0">
      <w:start w:val="1"/>
      <w:numFmt w:val="bullet"/>
      <w:lvlText w:val=""/>
      <w:lvlJc w:val="left"/>
      <w:pPr>
        <w:tabs>
          <w:tab w:val="num" w:pos="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21">
    <w:lvl w:ilvl="0">
      <w:start w:val="1"/>
      <w:numFmt w:val="bullet"/>
      <w:lvlText w:val=""/>
      <w:lvlJc w:val="left"/>
      <w:pPr>
        <w:tabs>
          <w:tab w:val="num" w:pos="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22">
    <w:lvl w:ilvl="0">
      <w:start w:val="1"/>
      <w:numFmt w:val="bullet"/>
      <w:lvlText w:val=""/>
      <w:lvlJc w:val="left"/>
      <w:pPr>
        <w:tabs>
          <w:tab w:val="num" w:pos="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23">
    <w:lvl w:ilvl="0">
      <w:start w:val="1"/>
      <w:numFmt w:val="bullet"/>
      <w:lvlText w:val=""/>
      <w:lvlJc w:val="left"/>
      <w:pPr>
        <w:tabs>
          <w:tab w:val="num" w:pos="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24">
    <w:lvl w:ilvl="0">
      <w:start w:val="1"/>
      <w:numFmt w:val="bullet"/>
      <w:lvlText w:val=""/>
      <w:lvlJc w:val="left"/>
      <w:pPr>
        <w:tabs>
          <w:tab w:val="num" w:pos="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2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lvl w:ilvl="0">
      <w:start w:val="1"/>
      <w:numFmt w:val="decimal"/>
      <w:lvlText w:val="%1"/>
      <w:lvlJc w:val="left"/>
      <w:pPr>
        <w:tabs>
          <w:tab w:val="num" w:pos="420"/>
        </w:tabs>
        <w:ind w:left="420" w:hanging="420"/>
      </w:pPr>
      <w:rPr>
        <w:rFonts w:cs="Times New Roman"/>
      </w:rPr>
    </w:lvl>
    <w:lvl w:ilvl="1">
      <w:start w:val="5"/>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3">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lvl w:ilvl="0">
      <w:start w:val="1"/>
      <w:numFmt w:val="bullet"/>
      <w:lvlText w:val=""/>
      <w:lvlJc w:val="left"/>
      <w:pPr>
        <w:tabs>
          <w:tab w:val="num" w:pos="0"/>
        </w:tabs>
        <w:ind w:left="771" w:hanging="360"/>
      </w:pPr>
      <w:rPr>
        <w:rFonts w:ascii="Symbol" w:hAnsi="Symbol" w:cs="Symbol" w:hint="default"/>
      </w:rPr>
    </w:lvl>
    <w:lvl w:ilvl="1">
      <w:start w:val="1"/>
      <w:numFmt w:val="bullet"/>
      <w:lvlText w:val="o"/>
      <w:lvlJc w:val="left"/>
      <w:pPr>
        <w:tabs>
          <w:tab w:val="num" w:pos="0"/>
        </w:tabs>
        <w:ind w:left="1491" w:hanging="360"/>
      </w:pPr>
      <w:rPr>
        <w:rFonts w:ascii="Courier New" w:hAnsi="Courier New" w:cs="Courier New" w:hint="default"/>
      </w:rPr>
    </w:lvl>
    <w:lvl w:ilvl="2">
      <w:start w:val="1"/>
      <w:numFmt w:val="bullet"/>
      <w:lvlText w:val=""/>
      <w:lvlJc w:val="left"/>
      <w:pPr>
        <w:tabs>
          <w:tab w:val="num" w:pos="0"/>
        </w:tabs>
        <w:ind w:left="2211" w:hanging="360"/>
      </w:pPr>
      <w:rPr>
        <w:rFonts w:ascii="Wingdings" w:hAnsi="Wingdings" w:cs="Wingdings" w:hint="default"/>
      </w:rPr>
    </w:lvl>
    <w:lvl w:ilvl="3">
      <w:start w:val="1"/>
      <w:numFmt w:val="bullet"/>
      <w:lvlText w:val=""/>
      <w:lvlJc w:val="left"/>
      <w:pPr>
        <w:tabs>
          <w:tab w:val="num" w:pos="0"/>
        </w:tabs>
        <w:ind w:left="2931" w:hanging="360"/>
      </w:pPr>
      <w:rPr>
        <w:rFonts w:ascii="Symbol" w:hAnsi="Symbol" w:cs="Symbol" w:hint="default"/>
      </w:rPr>
    </w:lvl>
    <w:lvl w:ilvl="4">
      <w:start w:val="1"/>
      <w:numFmt w:val="bullet"/>
      <w:lvlText w:val="o"/>
      <w:lvlJc w:val="left"/>
      <w:pPr>
        <w:tabs>
          <w:tab w:val="num" w:pos="0"/>
        </w:tabs>
        <w:ind w:left="3651" w:hanging="360"/>
      </w:pPr>
      <w:rPr>
        <w:rFonts w:ascii="Courier New" w:hAnsi="Courier New" w:cs="Courier New" w:hint="default"/>
      </w:rPr>
    </w:lvl>
    <w:lvl w:ilvl="5">
      <w:start w:val="1"/>
      <w:numFmt w:val="bullet"/>
      <w:lvlText w:val=""/>
      <w:lvlJc w:val="left"/>
      <w:pPr>
        <w:tabs>
          <w:tab w:val="num" w:pos="0"/>
        </w:tabs>
        <w:ind w:left="4371" w:hanging="360"/>
      </w:pPr>
      <w:rPr>
        <w:rFonts w:ascii="Wingdings" w:hAnsi="Wingdings" w:cs="Wingdings" w:hint="default"/>
      </w:rPr>
    </w:lvl>
    <w:lvl w:ilvl="6">
      <w:start w:val="1"/>
      <w:numFmt w:val="bullet"/>
      <w:lvlText w:val=""/>
      <w:lvlJc w:val="left"/>
      <w:pPr>
        <w:tabs>
          <w:tab w:val="num" w:pos="0"/>
        </w:tabs>
        <w:ind w:left="5091" w:hanging="360"/>
      </w:pPr>
      <w:rPr>
        <w:rFonts w:ascii="Symbol" w:hAnsi="Symbol" w:cs="Symbol" w:hint="default"/>
      </w:rPr>
    </w:lvl>
    <w:lvl w:ilvl="7">
      <w:start w:val="1"/>
      <w:numFmt w:val="bullet"/>
      <w:lvlText w:val="o"/>
      <w:lvlJc w:val="left"/>
      <w:pPr>
        <w:tabs>
          <w:tab w:val="num" w:pos="0"/>
        </w:tabs>
        <w:ind w:left="5811" w:hanging="360"/>
      </w:pPr>
      <w:rPr>
        <w:rFonts w:ascii="Courier New" w:hAnsi="Courier New" w:cs="Courier New" w:hint="default"/>
      </w:rPr>
    </w:lvl>
    <w:lvl w:ilvl="8">
      <w:start w:val="1"/>
      <w:numFmt w:val="bullet"/>
      <w:lvlText w:val=""/>
      <w:lvlJc w:val="left"/>
      <w:pPr>
        <w:tabs>
          <w:tab w:val="num" w:pos="0"/>
        </w:tabs>
        <w:ind w:left="6531" w:hanging="360"/>
      </w:pPr>
      <w:rPr>
        <w:rFonts w:ascii="Wingdings" w:hAnsi="Wingdings" w:cs="Wingdings" w:hint="default"/>
      </w:rPr>
    </w:lvl>
  </w:abstractNum>
  <w:abstractNum w:abstractNumId="4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1"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locked="0" w:unhideWhenUsed="0"/>
    <w:lsdException w:name="No Spacing" w:locked="0" w:uiPriority="1" w:semiHidden="0" w:unhideWhenUsed="0" w:qFormat="1"/>
    <w:lsdException w:name="Light Shading" w:locked="0" w:uiPriority="60" w:semiHidden="0" w:unhideWhenUsed="0"/>
    <w:lsdException w:name="Light List" w:locked="0" w:uiPriority="61" w:semiHidden="0" w:unhideWhenUsed="0"/>
    <w:lsdException w:name="Light Grid" w:locked="0" w:uiPriority="62" w:semiHidden="0" w:unhideWhenUsed="0"/>
    <w:lsdException w:name="Medium Shading 1" w:locked="0" w:uiPriority="63" w:semiHidden="0" w:unhideWhenUsed="0"/>
    <w:lsdException w:name="Medium Shading 2" w:locked="0" w:uiPriority="64" w:semiHidden="0" w:unhideWhenUsed="0"/>
    <w:lsdException w:name="Medium List 1" w:locked="0" w:uiPriority="65" w:semiHidden="0" w:unhideWhenUsed="0"/>
    <w:lsdException w:name="Medium List 2" w:locked="0" w:uiPriority="66" w:semiHidden="0" w:unhideWhenUsed="0"/>
    <w:lsdException w:name="Medium Grid 1" w:locked="0" w:uiPriority="67" w:semiHidden="0" w:unhideWhenUsed="0"/>
    <w:lsdException w:name="Medium Grid 2" w:locked="0" w:uiPriority="68" w:semiHidden="0" w:unhideWhenUsed="0"/>
    <w:lsdException w:name="Medium Grid 3" w:locked="0" w:uiPriority="69" w:semiHidden="0" w:unhideWhenUsed="0"/>
    <w:lsdException w:name="Dark List" w:locked="0" w:uiPriority="70" w:semiHidden="0" w:unhideWhenUsed="0"/>
    <w:lsdException w:name="Colorful Shading" w:locked="0" w:uiPriority="71" w:semiHidden="0" w:unhideWhenUsed="0"/>
    <w:lsdException w:name="Colorful List" w:locked="0" w:uiPriority="72" w:semiHidden="0" w:unhideWhenUsed="0"/>
    <w:lsdException w:name="Colorful Grid" w:locked="0" w:uiPriority="73" w:semiHidden="0" w:unhideWhenUsed="0"/>
    <w:lsdException w:name="Light Shading Accent 1" w:locked="0" w:uiPriority="60" w:semiHidden="0" w:unhideWhenUsed="0"/>
    <w:lsdException w:name="Light List Accent 1" w:locked="0" w:uiPriority="61" w:semiHidden="0" w:unhideWhenUsed="0"/>
    <w:lsdException w:name="Light Grid Accent 1" w:locked="0" w:uiPriority="62" w:semiHidden="0" w:unhideWhenUsed="0"/>
    <w:lsdException w:name="Medium Shading 1 Accent 1" w:locked="0" w:uiPriority="63" w:semiHidden="0" w:unhideWhenUsed="0"/>
    <w:lsdException w:name="Medium Shading 2 Accent 1" w:locked="0" w:uiPriority="64" w:semiHidden="0" w:unhideWhenUsed="0"/>
    <w:lsdException w:name="Medium List 1 Accent 1" w:locked="0" w:uiPriority="65" w:semiHidden="0" w:unhideWhenUsed="0"/>
    <w:lsdException w:name="Revision" w:locked="0" w:unhideWhenUsed="0"/>
    <w:lsdException w:name="List Paragraph" w:locked="0" w:uiPriority="34" w:semiHidden="0" w:unhideWhenUsed="0" w:qFormat="1"/>
    <w:lsdException w:name="Quote" w:locked="0" w:uiPriority="29" w:semiHidden="0" w:unhideWhenUsed="0" w:qFormat="1"/>
    <w:lsdException w:name="Intense Quote" w:locked="0" w:uiPriority="30" w:semiHidden="0" w:unhideWhenUsed="0" w:qFormat="1"/>
    <w:lsdException w:name="Medium List 2 Accent 1" w:locked="0" w:uiPriority="66" w:semiHidden="0" w:unhideWhenUsed="0"/>
    <w:lsdException w:name="Medium Grid 1 Accent 1" w:locked="0" w:uiPriority="67" w:semiHidden="0" w:unhideWhenUsed="0"/>
    <w:lsdException w:name="Medium Grid 2 Accent 1" w:locked="0" w:uiPriority="68" w:semiHidden="0" w:unhideWhenUsed="0"/>
    <w:lsdException w:name="Medium Grid 3 Accent 1" w:locked="0" w:uiPriority="69" w:semiHidden="0" w:unhideWhenUsed="0"/>
    <w:lsdException w:name="Dark List Accent 1" w:locked="0" w:uiPriority="70" w:semiHidden="0" w:unhideWhenUsed="0"/>
    <w:lsdException w:name="Colorful Shading Accent 1" w:locked="0" w:uiPriority="71" w:semiHidden="0" w:unhideWhenUsed="0"/>
    <w:lsdException w:name="Colorful List Accent 1" w:locked="0" w:uiPriority="72" w:semiHidden="0" w:unhideWhenUsed="0"/>
    <w:lsdException w:name="Colorful Grid Accent 1" w:locked="0" w:uiPriority="73" w:semiHidden="0" w:unhideWhenUsed="0"/>
    <w:lsdException w:name="Light Shading Accent 2" w:locked="0" w:uiPriority="60" w:semiHidden="0" w:unhideWhenUsed="0"/>
    <w:lsdException w:name="Light List Accent 2" w:locked="0" w:uiPriority="61" w:semiHidden="0" w:unhideWhenUsed="0"/>
    <w:lsdException w:name="Light Grid Accent 2" w:locked="0" w:uiPriority="62" w:semiHidden="0" w:unhideWhenUsed="0"/>
    <w:lsdException w:name="Medium Shading 1 Accent 2" w:locked="0" w:uiPriority="63" w:semiHidden="0" w:unhideWhenUsed="0"/>
    <w:lsdException w:name="Medium Shading 2 Accent 2" w:locked="0" w:uiPriority="64" w:semiHidden="0" w:unhideWhenUsed="0"/>
    <w:lsdException w:name="Medium List 1 Accent 2" w:locked="0" w:uiPriority="65" w:semiHidden="0" w:unhideWhenUsed="0"/>
    <w:lsdException w:name="Medium List 2 Accent 2" w:locked="0" w:uiPriority="66" w:semiHidden="0" w:unhideWhenUsed="0"/>
    <w:lsdException w:name="Medium Grid 1 Accent 2" w:locked="0" w:uiPriority="67" w:semiHidden="0" w:unhideWhenUsed="0"/>
    <w:lsdException w:name="Medium Grid 2 Accent 2" w:locked="0" w:uiPriority="68" w:semiHidden="0" w:unhideWhenUsed="0"/>
    <w:lsdException w:name="Medium Grid 3 Accent 2" w:locked="0" w:uiPriority="69" w:semiHidden="0" w:unhideWhenUsed="0"/>
    <w:lsdException w:name="Dark List Accent 2" w:locked="0" w:uiPriority="70" w:semiHidden="0" w:unhideWhenUsed="0"/>
    <w:lsdException w:name="Colorful Shading Accent 2" w:locked="0" w:uiPriority="71" w:semiHidden="0" w:unhideWhenUsed="0"/>
    <w:lsdException w:name="Colorful List Accent 2" w:locked="0" w:uiPriority="72" w:semiHidden="0" w:unhideWhenUsed="0"/>
    <w:lsdException w:name="Colorful Grid Accent 2" w:locked="0" w:uiPriority="73" w:semiHidden="0" w:unhideWhenUsed="0"/>
    <w:lsdException w:name="Light Shading Accent 3" w:locked="0" w:uiPriority="60" w:semiHidden="0" w:unhideWhenUsed="0"/>
    <w:lsdException w:name="Light List Accent 3" w:locked="0" w:uiPriority="61" w:semiHidden="0" w:unhideWhenUsed="0"/>
    <w:lsdException w:name="Light Grid Accent 3" w:locked="0" w:uiPriority="62" w:semiHidden="0" w:unhideWhenUsed="0"/>
    <w:lsdException w:name="Medium Shading 1 Accent 3" w:locked="0" w:uiPriority="63" w:semiHidden="0" w:unhideWhenUsed="0"/>
    <w:lsdException w:name="Medium Shading 2 Accent 3" w:locked="0" w:uiPriority="64" w:semiHidden="0" w:unhideWhenUsed="0"/>
    <w:lsdException w:name="Medium List 1 Accent 3" w:locked="0" w:uiPriority="65" w:semiHidden="0" w:unhideWhenUsed="0"/>
    <w:lsdException w:name="Medium List 2 Accent 3" w:locked="0" w:uiPriority="66" w:semiHidden="0" w:unhideWhenUsed="0"/>
    <w:lsdException w:name="Medium Grid 1 Accent 3" w:locked="0" w:uiPriority="67" w:semiHidden="0" w:unhideWhenUsed="0"/>
    <w:lsdException w:name="Medium Grid 2 Accent 3" w:locked="0" w:uiPriority="68" w:semiHidden="0" w:unhideWhenUsed="0"/>
    <w:lsdException w:name="Medium Grid 3 Accent 3" w:locked="0" w:uiPriority="69" w:semiHidden="0" w:unhideWhenUsed="0"/>
    <w:lsdException w:name="Dark List Accent 3" w:locked="0" w:uiPriority="70" w:semiHidden="0" w:unhideWhenUsed="0"/>
    <w:lsdException w:name="Colorful Shading Accent 3" w:locked="0" w:uiPriority="71" w:semiHidden="0" w:unhideWhenUsed="0"/>
    <w:lsdException w:name="Colorful List Accent 3" w:locked="0" w:uiPriority="72" w:semiHidden="0" w:unhideWhenUsed="0"/>
    <w:lsdException w:name="Colorful Grid Accent 3" w:locked="0" w:uiPriority="73" w:semiHidden="0" w:unhideWhenUsed="0"/>
    <w:lsdException w:name="Light Shading Accent 4" w:locked="0" w:uiPriority="60" w:semiHidden="0" w:unhideWhenUsed="0"/>
    <w:lsdException w:name="Light List Accent 4" w:locked="0" w:uiPriority="61" w:semiHidden="0" w:unhideWhenUsed="0"/>
    <w:lsdException w:name="Light Grid Accent 4" w:locked="0" w:uiPriority="62" w:semiHidden="0" w:unhideWhenUsed="0"/>
    <w:lsdException w:name="Medium Shading 1 Accent 4" w:locked="0" w:uiPriority="63" w:semiHidden="0" w:unhideWhenUsed="0"/>
    <w:lsdException w:name="Medium Shading 2 Accent 4" w:locked="0" w:uiPriority="64" w:semiHidden="0" w:unhideWhenUsed="0"/>
    <w:lsdException w:name="Medium List 1 Accent 4" w:locked="0" w:uiPriority="65" w:semiHidden="0" w:unhideWhenUsed="0"/>
    <w:lsdException w:name="Medium List 2 Accent 4" w:locked="0" w:uiPriority="66" w:semiHidden="0" w:unhideWhenUsed="0"/>
    <w:lsdException w:name="Medium Grid 1 Accent 4" w:locked="0" w:uiPriority="67" w:semiHidden="0" w:unhideWhenUsed="0"/>
    <w:lsdException w:name="Medium Grid 2 Accent 4" w:locked="0" w:uiPriority="68" w:semiHidden="0" w:unhideWhenUsed="0"/>
    <w:lsdException w:name="Medium Grid 3 Accent 4" w:locked="0" w:uiPriority="69" w:semiHidden="0" w:unhideWhenUsed="0"/>
    <w:lsdException w:name="Dark List Accent 4" w:locked="0" w:uiPriority="70" w:semiHidden="0" w:unhideWhenUsed="0"/>
    <w:lsdException w:name="Colorful Shading Accent 4" w:locked="0" w:uiPriority="71" w:semiHidden="0" w:unhideWhenUsed="0"/>
    <w:lsdException w:name="Colorful List Accent 4" w:locked="0" w:uiPriority="72" w:semiHidden="0" w:unhideWhenUsed="0"/>
    <w:lsdException w:name="Colorful Grid Accent 4" w:locked="0" w:uiPriority="73" w:semiHidden="0" w:unhideWhenUsed="0"/>
    <w:lsdException w:name="Light Shading Accent 5" w:locked="0" w:uiPriority="60" w:semiHidden="0" w:unhideWhenUsed="0"/>
    <w:lsdException w:name="Light List Accent 5" w:locked="0" w:uiPriority="61" w:semiHidden="0" w:unhideWhenUsed="0"/>
    <w:lsdException w:name="Light Grid Accent 5" w:locked="0" w:uiPriority="62" w:semiHidden="0" w:unhideWhenUsed="0"/>
    <w:lsdException w:name="Medium Shading 1 Accent 5" w:locked="0" w:uiPriority="63" w:semiHidden="0" w:unhideWhenUsed="0"/>
    <w:lsdException w:name="Medium Shading 2 Accent 5" w:locked="0" w:uiPriority="64" w:semiHidden="0" w:unhideWhenUsed="0"/>
    <w:lsdException w:name="Medium List 1 Accent 5" w:locked="0" w:uiPriority="65" w:semiHidden="0" w:unhideWhenUsed="0"/>
    <w:lsdException w:name="Medium List 2 Accent 5" w:locked="0" w:uiPriority="66" w:semiHidden="0" w:unhideWhenUsed="0"/>
    <w:lsdException w:name="Medium Grid 1 Accent 5" w:locked="0" w:uiPriority="67" w:semiHidden="0" w:unhideWhenUsed="0"/>
    <w:lsdException w:name="Medium Grid 2 Accent 5" w:locked="0" w:uiPriority="68" w:semiHidden="0" w:unhideWhenUsed="0"/>
    <w:lsdException w:name="Medium Grid 3 Accent 5" w:locked="0" w:uiPriority="69" w:semiHidden="0" w:unhideWhenUsed="0"/>
    <w:lsdException w:name="Dark List Accent 5" w:locked="0" w:uiPriority="70" w:semiHidden="0" w:unhideWhenUsed="0"/>
    <w:lsdException w:name="Colorful Shading Accent 5" w:locked="0" w:uiPriority="71" w:semiHidden="0" w:unhideWhenUsed="0"/>
    <w:lsdException w:name="Colorful List Accent 5" w:locked="0" w:uiPriority="72" w:semiHidden="0" w:unhideWhenUsed="0"/>
    <w:lsdException w:name="Colorful Grid Accent 5" w:locked="0" w:uiPriority="73" w:semiHidden="0" w:unhideWhenUsed="0"/>
    <w:lsdException w:name="Light Shading Accent 6" w:locked="0" w:uiPriority="60" w:semiHidden="0" w:unhideWhenUsed="0"/>
    <w:lsdException w:name="Light List Accent 6" w:locked="0" w:uiPriority="61" w:semiHidden="0" w:unhideWhenUsed="0"/>
    <w:lsdException w:name="Light Grid Accent 6" w:locked="0" w:uiPriority="62" w:semiHidden="0" w:unhideWhenUsed="0"/>
    <w:lsdException w:name="Medium Shading 1 Accent 6" w:locked="0" w:uiPriority="63" w:semiHidden="0" w:unhideWhenUsed="0"/>
    <w:lsdException w:name="Medium Shading 2 Accent 6" w:locked="0" w:uiPriority="64" w:semiHidden="0" w:unhideWhenUsed="0"/>
    <w:lsdException w:name="Medium List 1 Accent 6" w:locked="0" w:uiPriority="65" w:semiHidden="0" w:unhideWhenUsed="0"/>
    <w:lsdException w:name="Medium List 2 Accent 6" w:locked="0" w:uiPriority="66" w:semiHidden="0" w:unhideWhenUsed="0"/>
    <w:lsdException w:name="Medium Grid 1 Accent 6" w:locked="0" w:uiPriority="67" w:semiHidden="0" w:unhideWhenUsed="0"/>
    <w:lsdException w:name="Medium Grid 2 Accent 6" w:locked="0" w:uiPriority="68" w:semiHidden="0" w:unhideWhenUsed="0"/>
    <w:lsdException w:name="Medium Grid 3 Accent 6" w:locked="0" w:uiPriority="69" w:semiHidden="0" w:unhideWhenUsed="0"/>
    <w:lsdException w:name="Dark List Accent 6" w:locked="0" w:uiPriority="70" w:semiHidden="0" w:unhideWhenUsed="0"/>
    <w:lsdException w:name="Colorful Shading Accent 6" w:locked="0" w:uiPriority="71" w:semiHidden="0" w:unhideWhenUsed="0"/>
    <w:lsdException w:name="Colorful List Accent 6" w:locked="0" w:uiPriority="72" w:semiHidden="0" w:unhideWhenUsed="0"/>
    <w:lsdException w:name="Colorful Grid Accent 6" w:locked="0" w:uiPriority="73" w:semiHidden="0" w:unhideWhenUsed="0"/>
    <w:lsdException w:name="Subtle Emphasis" w:locked="0" w:uiPriority="19" w:semiHidden="0" w:unhideWhenUsed="0" w:qFormat="1"/>
    <w:lsdException w:name="Intense Emphasis" w:locked="0" w:uiPriority="21" w:semiHidden="0" w:unhideWhenUsed="0" w:qFormat="1"/>
    <w:lsdException w:name="Subtle Reference" w:locked="0" w:uiPriority="31" w:semiHidden="0" w:unhideWhenUsed="0" w:qFormat="1"/>
    <w:lsdException w:name="Intense Reference" w:locked="0" w:uiPriority="32" w:semiHidden="0" w:unhideWhenUsed="0" w:qFormat="1"/>
    <w:lsdException w:name="Book Title" w:locked="0" w:uiPriority="33" w:semiHidden="0" w:unhideWhenUsed="0" w:qFormat="1"/>
    <w:lsdException w:name="Bibliography" w:locked="0" w:uiPriority="37"/>
    <w:lsdException w:name="TOC Heading" w:locked="0" w:uiPriority="39" w:qFormat="1"/>
  </w:latentStyles>
  <w:style w:type="paragraph" w:styleId="Normal" w:default="1">
    <w:name w:val="Normal"/>
    <w:qFormat/>
    <w:rsid w:val="000636e4"/>
    <w:pPr>
      <w:widowControl/>
      <w:suppressAutoHyphens w:val="true"/>
      <w:bidi w:val="0"/>
      <w:spacing w:lineRule="auto" w:line="276" w:before="0" w:after="200"/>
      <w:jc w:val="left"/>
    </w:pPr>
    <w:rPr>
      <w:rFonts w:ascii="Calibri" w:hAnsi="Calibri" w:eastAsia="Calibri" w:cs="Times New Roman"/>
      <w:color w:val="auto"/>
      <w:kern w:val="0"/>
      <w:sz w:val="22"/>
      <w:szCs w:val="22"/>
      <w:lang w:val="ru-RU" w:eastAsia="en-US" w:bidi="ar-SA"/>
    </w:rPr>
  </w:style>
  <w:style w:type="paragraph" w:styleId="1">
    <w:name w:val="Heading 1"/>
    <w:basedOn w:val="Standard"/>
    <w:next w:val="Standard"/>
    <w:qFormat/>
    <w:pPr>
      <w:keepNext w:val="true"/>
      <w:spacing w:before="240" w:after="60"/>
    </w:pPr>
    <w:rPr>
      <w:rFonts w:ascii="Arial" w:hAnsi="Arial" w:cs="Arial"/>
      <w:b/>
      <w:bCs/>
      <w:sz w:val="32"/>
      <w:szCs w:val="32"/>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link w:val="1"/>
    <w:uiPriority w:val="99"/>
    <w:qFormat/>
    <w:locked/>
    <w:rsid w:val="000a060f"/>
    <w:rPr>
      <w:rFonts w:ascii="Cambria" w:hAnsi="Cambria" w:cs="Times New Roman"/>
      <w:b/>
      <w:bCs/>
      <w:kern w:val="2"/>
      <w:sz w:val="32"/>
      <w:szCs w:val="32"/>
      <w:lang w:eastAsia="ru-RU"/>
    </w:rPr>
  </w:style>
  <w:style w:type="character" w:styleId="Style13" w:customStyle="1">
    <w:name w:val="Основной текст Знак"/>
    <w:basedOn w:val="DefaultParagraphFont"/>
    <w:link w:val="a4"/>
    <w:uiPriority w:val="99"/>
    <w:qFormat/>
    <w:locked/>
    <w:rsid w:val="000a060f"/>
    <w:rPr>
      <w:rFonts w:ascii="Times New Roman" w:hAnsi="Times New Roman" w:cs="Times New Roman"/>
      <w:sz w:val="20"/>
      <w:szCs w:val="20"/>
      <w:lang w:eastAsia="ru-RU"/>
    </w:rPr>
  </w:style>
  <w:style w:type="character" w:styleId="Style14" w:customStyle="1">
    <w:name w:val="Нижний колонтитул Знак"/>
    <w:basedOn w:val="DefaultParagraphFont"/>
    <w:link w:val="a6"/>
    <w:uiPriority w:val="99"/>
    <w:qFormat/>
    <w:locked/>
    <w:rsid w:val="000a060f"/>
    <w:rPr>
      <w:rFonts w:ascii="Times New Roman" w:hAnsi="Times New Roman" w:cs="Times New Roman"/>
      <w:sz w:val="24"/>
      <w:szCs w:val="24"/>
      <w:lang w:eastAsia="ru-RU"/>
    </w:rPr>
  </w:style>
  <w:style w:type="character" w:styleId="Pagenumber">
    <w:name w:val="page number"/>
    <w:basedOn w:val="DefaultParagraphFont"/>
    <w:uiPriority w:val="99"/>
    <w:qFormat/>
    <w:rsid w:val="000a060f"/>
    <w:rPr>
      <w:rFonts w:cs="Times New Roman"/>
    </w:rPr>
  </w:style>
  <w:style w:type="character" w:styleId="Titledateend" w:customStyle="1">
    <w:name w:val="title_date_end"/>
    <w:uiPriority w:val="99"/>
    <w:qFormat/>
    <w:rsid w:val="000a060f"/>
    <w:rPr/>
  </w:style>
  <w:style w:type="character" w:styleId="2" w:customStyle="1">
    <w:name w:val="Стиль2 Знак"/>
    <w:link w:val="2"/>
    <w:qFormat/>
    <w:locked/>
    <w:rsid w:val="000a060f"/>
    <w:rPr>
      <w:rFonts w:ascii="Cambria" w:hAnsi="Cambria"/>
      <w:sz w:val="24"/>
      <w:lang w:eastAsia="ru-RU"/>
    </w:rPr>
  </w:style>
  <w:style w:type="character" w:styleId="Style15">
    <w:name w:val="Интернет-ссылка"/>
    <w:basedOn w:val="DefaultParagraphFont"/>
    <w:uiPriority w:val="99"/>
    <w:rsid w:val="000a060f"/>
    <w:rPr>
      <w:rFonts w:cs="Times New Roman"/>
      <w:color w:val="0000FF"/>
      <w:u w:val="single"/>
    </w:rPr>
  </w:style>
  <w:style w:type="character" w:styleId="Style16" w:customStyle="1">
    <w:name w:val="Подзаголовок Знак"/>
    <w:basedOn w:val="DefaultParagraphFont"/>
    <w:link w:val="aa"/>
    <w:uiPriority w:val="99"/>
    <w:qFormat/>
    <w:locked/>
    <w:rsid w:val="000a060f"/>
    <w:rPr>
      <w:rFonts w:ascii="Cambria" w:hAnsi="Cambria" w:cs="Times New Roman"/>
      <w:b/>
      <w:sz w:val="24"/>
      <w:szCs w:val="24"/>
      <w:lang w:eastAsia="ru-RU"/>
    </w:rPr>
  </w:style>
  <w:style w:type="character" w:styleId="Style17" w:customStyle="1">
    <w:name w:val="Верхний колонтитул Знак"/>
    <w:basedOn w:val="DefaultParagraphFont"/>
    <w:link w:val="ac"/>
    <w:uiPriority w:val="99"/>
    <w:qFormat/>
    <w:locked/>
    <w:rsid w:val="000a060f"/>
    <w:rPr>
      <w:rFonts w:ascii="Times New Roman" w:hAnsi="Times New Roman" w:cs="Times New Roman"/>
      <w:sz w:val="24"/>
      <w:szCs w:val="24"/>
      <w:lang w:eastAsia="ru-RU"/>
    </w:rPr>
  </w:style>
  <w:style w:type="character" w:styleId="Style18" w:customStyle="1">
    <w:name w:val="Основной текст_"/>
    <w:link w:val="9"/>
    <w:uiPriority w:val="99"/>
    <w:qFormat/>
    <w:locked/>
    <w:rsid w:val="000a060f"/>
    <w:rPr>
      <w:shd w:fill="FFFFFF" w:val="clear"/>
    </w:rPr>
  </w:style>
  <w:style w:type="character" w:styleId="3" w:customStyle="1">
    <w:name w:val="Основной текст3"/>
    <w:uiPriority w:val="99"/>
    <w:qFormat/>
    <w:rsid w:val="000a060f"/>
    <w:rPr>
      <w:rFonts w:ascii="Times New Roman" w:hAnsi="Times New Roman"/>
      <w:color w:val="000000"/>
      <w:spacing w:val="0"/>
      <w:w w:val="100"/>
      <w:sz w:val="22"/>
      <w:u w:val="none"/>
      <w:shd w:fill="FFFFFF" w:val="clear"/>
      <w:lang w:val="ru-RU"/>
    </w:rPr>
  </w:style>
  <w:style w:type="character" w:styleId="6" w:customStyle="1">
    <w:name w:val="Основной текст6"/>
    <w:uiPriority w:val="99"/>
    <w:qFormat/>
    <w:rsid w:val="000a060f"/>
    <w:rPr>
      <w:rFonts w:ascii="Times New Roman" w:hAnsi="Times New Roman"/>
      <w:color w:val="000000"/>
      <w:spacing w:val="0"/>
      <w:w w:val="100"/>
      <w:sz w:val="22"/>
      <w:u w:val="none"/>
      <w:shd w:fill="FFFFFF" w:val="clear"/>
      <w:lang w:val="ru-RU"/>
    </w:rPr>
  </w:style>
  <w:style w:type="character" w:styleId="21" w:customStyle="1">
    <w:name w:val="Основной текст 2 Знак"/>
    <w:basedOn w:val="DefaultParagraphFont"/>
    <w:link w:val="21"/>
    <w:uiPriority w:val="99"/>
    <w:qFormat/>
    <w:locked/>
    <w:rsid w:val="000a060f"/>
    <w:rPr>
      <w:rFonts w:ascii="Times New Roman" w:hAnsi="Times New Roman" w:cs="Times New Roman"/>
      <w:sz w:val="24"/>
      <w:szCs w:val="24"/>
      <w:lang w:eastAsia="ru-RU"/>
    </w:rPr>
  </w:style>
  <w:style w:type="character" w:styleId="Strong">
    <w:name w:val="Strong"/>
    <w:basedOn w:val="DefaultParagraphFont"/>
    <w:uiPriority w:val="99"/>
    <w:qFormat/>
    <w:rsid w:val="000a060f"/>
    <w:rPr>
      <w:rFonts w:cs="Times New Roman"/>
      <w:b/>
    </w:rPr>
  </w:style>
  <w:style w:type="character" w:styleId="31" w:customStyle="1">
    <w:name w:val="Стиль3 Знак"/>
    <w:basedOn w:val="2"/>
    <w:link w:val="30"/>
    <w:uiPriority w:val="99"/>
    <w:qFormat/>
    <w:locked/>
    <w:rsid w:val="000a060f"/>
    <w:rPr>
      <w:rFonts w:ascii="Times New Roman" w:hAnsi="Times New Roman" w:cs="Times New Roman"/>
      <w:szCs w:val="24"/>
    </w:rPr>
  </w:style>
  <w:style w:type="character" w:styleId="Style19" w:customStyle="1">
    <w:name w:val="Текст сноски Знак"/>
    <w:basedOn w:val="DefaultParagraphFont"/>
    <w:link w:val="af0"/>
    <w:uiPriority w:val="99"/>
    <w:qFormat/>
    <w:locked/>
    <w:rsid w:val="000a060f"/>
    <w:rPr>
      <w:rFonts w:ascii="Times New Roman" w:hAnsi="Times New Roman" w:cs="Times New Roman"/>
      <w:sz w:val="20"/>
      <w:szCs w:val="20"/>
      <w:lang w:eastAsia="ru-RU"/>
    </w:rPr>
  </w:style>
  <w:style w:type="character" w:styleId="Style20">
    <w:name w:val="Привязка сноски"/>
    <w:rPr>
      <w:rFonts w:cs="Times New Roman"/>
      <w:vertAlign w:val="superscript"/>
    </w:rPr>
  </w:style>
  <w:style w:type="character" w:styleId="FootnoteCharacters">
    <w:name w:val="Footnote Characters"/>
    <w:basedOn w:val="DefaultParagraphFont"/>
    <w:uiPriority w:val="99"/>
    <w:qFormat/>
    <w:rsid w:val="000a060f"/>
    <w:rPr>
      <w:rFonts w:cs="Times New Roman"/>
      <w:vertAlign w:val="superscript"/>
    </w:rPr>
  </w:style>
  <w:style w:type="character" w:styleId="Style21" w:customStyle="1">
    <w:name w:val="Гипертекстовая ссылка"/>
    <w:basedOn w:val="DefaultParagraphFont"/>
    <w:uiPriority w:val="99"/>
    <w:qFormat/>
    <w:rsid w:val="009b47ba"/>
    <w:rPr>
      <w:rFonts w:cs="Times New Roman"/>
      <w:color w:val="106BBE"/>
    </w:rPr>
  </w:style>
  <w:style w:type="character" w:styleId="22" w:customStyle="1">
    <w:name w:val="Основной текст с отступом 2 Знак"/>
    <w:basedOn w:val="DefaultParagraphFont"/>
    <w:link w:val="23"/>
    <w:uiPriority w:val="99"/>
    <w:semiHidden/>
    <w:qFormat/>
    <w:rsid w:val="003e3ab5"/>
    <w:rPr>
      <w:sz w:val="22"/>
      <w:szCs w:val="22"/>
      <w:lang w:eastAsia="en-US"/>
    </w:rPr>
  </w:style>
  <w:style w:type="paragraph" w:styleId="Style22">
    <w:name w:val="Заголовок"/>
    <w:basedOn w:val="Normal"/>
    <w:next w:val="Style23"/>
    <w:qFormat/>
    <w:pPr>
      <w:keepNext w:val="true"/>
      <w:spacing w:before="240" w:after="120"/>
    </w:pPr>
    <w:rPr>
      <w:rFonts w:ascii="Liberation Sans" w:hAnsi="Liberation Sans" w:eastAsia="Microsoft YaHei" w:cs="Mangal"/>
      <w:sz w:val="28"/>
      <w:szCs w:val="28"/>
    </w:rPr>
  </w:style>
  <w:style w:type="paragraph" w:styleId="Style23">
    <w:name w:val="Body Text"/>
    <w:basedOn w:val="Normal"/>
    <w:link w:val="a5"/>
    <w:uiPriority w:val="99"/>
    <w:rsid w:val="000a060f"/>
    <w:pPr>
      <w:snapToGrid w:val="false"/>
      <w:spacing w:lineRule="auto" w:line="300" w:before="0" w:after="0"/>
    </w:pPr>
    <w:rPr>
      <w:rFonts w:ascii="Times New Roman" w:hAnsi="Times New Roman" w:eastAsia="Times New Roman"/>
      <w:sz w:val="24"/>
      <w:szCs w:val="20"/>
      <w:lang w:eastAsia="ru-RU"/>
    </w:rPr>
  </w:style>
  <w:style w:type="paragraph" w:styleId="Style24">
    <w:name w:val="List"/>
    <w:basedOn w:val="Style23"/>
    <w:pPr/>
    <w:rPr>
      <w:rFonts w:cs="Mangal"/>
    </w:rPr>
  </w:style>
  <w:style w:type="paragraph" w:styleId="Style25">
    <w:name w:val="Caption"/>
    <w:basedOn w:val="Normal"/>
    <w:qFormat/>
    <w:pPr>
      <w:suppressLineNumbers/>
      <w:spacing w:before="120" w:after="120"/>
    </w:pPr>
    <w:rPr>
      <w:rFonts w:cs="Mangal"/>
      <w:i/>
      <w:iCs/>
      <w:sz w:val="24"/>
      <w:szCs w:val="24"/>
    </w:rPr>
  </w:style>
  <w:style w:type="paragraph" w:styleId="Style26">
    <w:name w:val="Указатель"/>
    <w:basedOn w:val="Normal"/>
    <w:qFormat/>
    <w:pPr>
      <w:suppressLineNumbers/>
    </w:pPr>
    <w:rPr>
      <w:rFonts w:cs="Mangal"/>
    </w:rPr>
  </w:style>
  <w:style w:type="paragraph" w:styleId="Style27">
    <w:name w:val="Верхний и нижний колонтитулы"/>
    <w:basedOn w:val="Normal"/>
    <w:qFormat/>
    <w:pPr/>
    <w:rPr/>
  </w:style>
  <w:style w:type="paragraph" w:styleId="Style28">
    <w:name w:val="Footer"/>
    <w:basedOn w:val="Normal"/>
    <w:link w:val="a7"/>
    <w:uiPriority w:val="99"/>
    <w:rsid w:val="000a060f"/>
    <w:pPr>
      <w:tabs>
        <w:tab w:val="clear" w:pos="708"/>
        <w:tab w:val="center" w:pos="4677" w:leader="none"/>
        <w:tab w:val="right" w:pos="9355" w:leader="none"/>
      </w:tabs>
      <w:spacing w:lineRule="auto" w:line="240" w:before="0" w:after="0"/>
    </w:pPr>
    <w:rPr>
      <w:rFonts w:ascii="Times New Roman" w:hAnsi="Times New Roman" w:eastAsia="Times New Roman"/>
      <w:sz w:val="24"/>
      <w:szCs w:val="24"/>
      <w:lang w:eastAsia="ru-RU"/>
    </w:rPr>
  </w:style>
  <w:style w:type="paragraph" w:styleId="ConsNonformat" w:customStyle="1">
    <w:name w:val="ConsNonformat"/>
    <w:uiPriority w:val="99"/>
    <w:qFormat/>
    <w:rsid w:val="000a060f"/>
    <w:pPr>
      <w:widowControl w:val="false"/>
      <w:suppressAutoHyphens w:val="true"/>
      <w:bidi w:val="0"/>
      <w:spacing w:before="0" w:after="0"/>
      <w:ind w:right="19772" w:hanging="0"/>
      <w:jc w:val="left"/>
    </w:pPr>
    <w:rPr>
      <w:rFonts w:ascii="Courier New" w:hAnsi="Courier New" w:eastAsia="Times New Roman" w:cs="Courier New"/>
      <w:color w:val="auto"/>
      <w:kern w:val="0"/>
      <w:sz w:val="20"/>
      <w:szCs w:val="20"/>
      <w:lang w:val="ru-RU" w:eastAsia="ru-RU" w:bidi="ar-SA"/>
    </w:rPr>
  </w:style>
  <w:style w:type="paragraph" w:styleId="ConsTitle" w:customStyle="1">
    <w:name w:val="ConsTitle"/>
    <w:uiPriority w:val="99"/>
    <w:qFormat/>
    <w:rsid w:val="000a060f"/>
    <w:pPr>
      <w:widowControl w:val="false"/>
      <w:suppressAutoHyphens w:val="true"/>
      <w:bidi w:val="0"/>
      <w:spacing w:before="0" w:after="0"/>
      <w:ind w:right="19772" w:hanging="0"/>
      <w:jc w:val="left"/>
    </w:pPr>
    <w:rPr>
      <w:rFonts w:ascii="Arial" w:hAnsi="Arial" w:eastAsia="Times New Roman" w:cs="Arial"/>
      <w:b/>
      <w:bCs/>
      <w:color w:val="auto"/>
      <w:kern w:val="0"/>
      <w:sz w:val="20"/>
      <w:szCs w:val="20"/>
      <w:lang w:val="ru-RU" w:eastAsia="ru-RU" w:bidi="ar-SA"/>
    </w:rPr>
  </w:style>
  <w:style w:type="paragraph" w:styleId="ConsPlusNormal" w:customStyle="1">
    <w:name w:val="ConsPlusNormal"/>
    <w:uiPriority w:val="99"/>
    <w:qFormat/>
    <w:rsid w:val="000a060f"/>
    <w:pPr>
      <w:widowControl w:val="false"/>
      <w:suppressAutoHyphens w:val="true"/>
      <w:bidi w:val="0"/>
      <w:spacing w:before="0" w:after="0"/>
      <w:ind w:firstLine="720"/>
      <w:jc w:val="left"/>
    </w:pPr>
    <w:rPr>
      <w:rFonts w:ascii="Arial" w:hAnsi="Arial" w:eastAsia="Times New Roman" w:cs="Times New Roman"/>
      <w:color w:val="auto"/>
      <w:kern w:val="0"/>
      <w:sz w:val="20"/>
      <w:szCs w:val="20"/>
      <w:lang w:val="ru-RU" w:eastAsia="ru-RU" w:bidi="ar-SA"/>
    </w:rPr>
  </w:style>
  <w:style w:type="paragraph" w:styleId="ConsPlusNonformat" w:customStyle="1">
    <w:name w:val="ConsPlusNonformat"/>
    <w:uiPriority w:val="99"/>
    <w:qFormat/>
    <w:rsid w:val="000a060f"/>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ConsPlusTitle" w:customStyle="1">
    <w:name w:val="ConsPlusTitle"/>
    <w:uiPriority w:val="99"/>
    <w:qFormat/>
    <w:rsid w:val="000a060f"/>
    <w:pPr>
      <w:widowControl w:val="false"/>
      <w:suppressAutoHyphens w:val="true"/>
      <w:bidi w:val="0"/>
      <w:spacing w:before="0" w:after="0"/>
      <w:jc w:val="left"/>
    </w:pPr>
    <w:rPr>
      <w:rFonts w:ascii="Arial" w:hAnsi="Arial" w:eastAsia="Times New Roman" w:cs="Arial"/>
      <w:b/>
      <w:bCs/>
      <w:color w:val="auto"/>
      <w:kern w:val="0"/>
      <w:sz w:val="20"/>
      <w:szCs w:val="20"/>
      <w:lang w:val="ru-RU" w:eastAsia="ru-RU" w:bidi="ar-SA"/>
    </w:rPr>
  </w:style>
  <w:style w:type="paragraph" w:styleId="12" w:customStyle="1">
    <w:name w:val="Стиль1"/>
    <w:basedOn w:val="Normal"/>
    <w:uiPriority w:val="99"/>
    <w:qFormat/>
    <w:rsid w:val="000a060f"/>
    <w:pPr>
      <w:tabs>
        <w:tab w:val="clear" w:pos="708"/>
        <w:tab w:val="left" w:pos="709" w:leader="none"/>
      </w:tabs>
      <w:overflowPunct w:val="false"/>
      <w:spacing w:lineRule="auto" w:line="288" w:before="0" w:after="0"/>
      <w:ind w:firstLine="709"/>
      <w:jc w:val="both"/>
      <w:textAlignment w:val="baseline"/>
    </w:pPr>
    <w:rPr>
      <w:rFonts w:ascii="Times New Roman" w:hAnsi="Times New Roman" w:eastAsia="Times New Roman"/>
      <w:sz w:val="24"/>
      <w:szCs w:val="24"/>
      <w:lang w:eastAsia="ru-RU"/>
    </w:rPr>
  </w:style>
  <w:style w:type="paragraph" w:styleId="23" w:customStyle="1">
    <w:name w:val="Стиль2"/>
    <w:basedOn w:val="ConsPlusNormal"/>
    <w:link w:val="20"/>
    <w:qFormat/>
    <w:rsid w:val="000a060f"/>
    <w:pPr>
      <w:widowControl/>
      <w:spacing w:lineRule="auto" w:line="276"/>
      <w:ind w:firstLine="540"/>
      <w:jc w:val="both"/>
    </w:pPr>
    <w:rPr>
      <w:rFonts w:ascii="Cambria" w:hAnsi="Cambria" w:eastAsia="Calibri"/>
      <w:sz w:val="24"/>
    </w:rPr>
  </w:style>
  <w:style w:type="paragraph" w:styleId="Style29">
    <w:name w:val="Subtitle"/>
    <w:basedOn w:val="Normal"/>
    <w:next w:val="Normal"/>
    <w:link w:val="ab"/>
    <w:uiPriority w:val="99"/>
    <w:qFormat/>
    <w:rsid w:val="000a060f"/>
    <w:pPr>
      <w:spacing w:lineRule="auto" w:line="240" w:before="0" w:after="60"/>
      <w:jc w:val="center"/>
      <w:outlineLvl w:val="1"/>
    </w:pPr>
    <w:rPr>
      <w:rFonts w:ascii="Cambria" w:hAnsi="Cambria" w:eastAsia="Times New Roman"/>
      <w:b/>
      <w:sz w:val="28"/>
      <w:szCs w:val="24"/>
      <w:lang w:eastAsia="ru-RU"/>
    </w:rPr>
  </w:style>
  <w:style w:type="paragraph" w:styleId="Style30">
    <w:name w:val="Header"/>
    <w:basedOn w:val="Normal"/>
    <w:link w:val="ad"/>
    <w:uiPriority w:val="99"/>
    <w:rsid w:val="000a060f"/>
    <w:pPr>
      <w:tabs>
        <w:tab w:val="clear" w:pos="708"/>
        <w:tab w:val="center" w:pos="4677" w:leader="none"/>
        <w:tab w:val="right" w:pos="9355" w:leader="none"/>
      </w:tabs>
      <w:spacing w:lineRule="auto" w:line="240" w:before="0" w:after="0"/>
    </w:pPr>
    <w:rPr>
      <w:rFonts w:ascii="Times New Roman" w:hAnsi="Times New Roman" w:eastAsia="Times New Roman"/>
      <w:sz w:val="24"/>
      <w:szCs w:val="24"/>
      <w:lang w:eastAsia="ru-RU"/>
    </w:rPr>
  </w:style>
  <w:style w:type="paragraph" w:styleId="9" w:customStyle="1">
    <w:name w:val="Основной текст9"/>
    <w:basedOn w:val="Normal"/>
    <w:link w:val="ae"/>
    <w:uiPriority w:val="99"/>
    <w:qFormat/>
    <w:rsid w:val="000a060f"/>
    <w:pPr>
      <w:widowControl w:val="false"/>
      <w:shd w:val="clear" w:color="auto" w:fill="FFFFFF"/>
      <w:spacing w:lineRule="exact" w:line="413" w:before="0" w:after="0"/>
      <w:ind w:hanging="2040"/>
      <w:jc w:val="both"/>
    </w:pPr>
    <w:rPr>
      <w:sz w:val="20"/>
      <w:szCs w:val="20"/>
    </w:rPr>
  </w:style>
  <w:style w:type="paragraph" w:styleId="BodyText2">
    <w:name w:val="Body Text 2"/>
    <w:basedOn w:val="Normal"/>
    <w:link w:val="22"/>
    <w:uiPriority w:val="99"/>
    <w:qFormat/>
    <w:rsid w:val="000a060f"/>
    <w:pPr>
      <w:spacing w:lineRule="auto" w:line="480" w:before="0" w:after="120"/>
    </w:pPr>
    <w:rPr>
      <w:rFonts w:ascii="Times New Roman" w:hAnsi="Times New Roman" w:eastAsia="Times New Roman"/>
      <w:sz w:val="24"/>
      <w:szCs w:val="24"/>
      <w:lang w:eastAsia="ru-RU"/>
    </w:rPr>
  </w:style>
  <w:style w:type="paragraph" w:styleId="ConsPlusCell" w:customStyle="1">
    <w:name w:val="ConsPlusCell"/>
    <w:uiPriority w:val="99"/>
    <w:qFormat/>
    <w:rsid w:val="000a060f"/>
    <w:pPr>
      <w:widowControl w:val="false"/>
      <w:suppressAutoHyphens w:val="true"/>
      <w:bidi w:val="0"/>
      <w:spacing w:before="0" w:after="0"/>
      <w:jc w:val="left"/>
    </w:pPr>
    <w:rPr>
      <w:rFonts w:ascii="Cambria" w:hAnsi="Cambria" w:eastAsia="Times New Roman" w:cs="Cambria"/>
      <w:color w:val="auto"/>
      <w:kern w:val="0"/>
      <w:sz w:val="24"/>
      <w:szCs w:val="24"/>
      <w:lang w:val="ru-RU" w:eastAsia="ru-RU" w:bidi="ar-SA"/>
    </w:rPr>
  </w:style>
  <w:style w:type="paragraph" w:styleId="32" w:customStyle="1">
    <w:name w:val="Стиль3"/>
    <w:basedOn w:val="23"/>
    <w:link w:val="31"/>
    <w:uiPriority w:val="99"/>
    <w:qFormat/>
    <w:rsid w:val="000a060f"/>
    <w:pPr/>
    <w:rPr>
      <w:rFonts w:ascii="Times New Roman" w:hAnsi="Times New Roman"/>
    </w:rPr>
  </w:style>
  <w:style w:type="paragraph" w:styleId="Style31">
    <w:name w:val="Footnote Text"/>
    <w:basedOn w:val="Normal"/>
    <w:link w:val="af1"/>
    <w:uiPriority w:val="99"/>
    <w:rsid w:val="000a060f"/>
    <w:pPr>
      <w:spacing w:lineRule="auto" w:line="240" w:before="0" w:after="0"/>
    </w:pPr>
    <w:rPr>
      <w:rFonts w:ascii="Times New Roman" w:hAnsi="Times New Roman" w:eastAsia="Times New Roman"/>
      <w:sz w:val="20"/>
      <w:szCs w:val="20"/>
      <w:lang w:eastAsia="ru-RU"/>
    </w:rPr>
  </w:style>
  <w:style w:type="paragraph" w:styleId="Formattext" w:customStyle="1">
    <w:name w:val="formattext"/>
    <w:basedOn w:val="Normal"/>
    <w:uiPriority w:val="99"/>
    <w:qFormat/>
    <w:rsid w:val="00ae7406"/>
    <w:pPr>
      <w:spacing w:lineRule="auto" w:line="240" w:beforeAutospacing="1" w:afterAutospacing="1"/>
    </w:pPr>
    <w:rPr>
      <w:rFonts w:ascii="Times New Roman" w:hAnsi="Times New Roman" w:eastAsia="Times New Roman"/>
      <w:sz w:val="24"/>
      <w:szCs w:val="24"/>
      <w:lang w:eastAsia="ru-RU"/>
    </w:rPr>
  </w:style>
  <w:style w:type="paragraph" w:styleId="ListParagraph">
    <w:name w:val="List Paragraph"/>
    <w:basedOn w:val="Normal"/>
    <w:uiPriority w:val="99"/>
    <w:qFormat/>
    <w:rsid w:val="00e27795"/>
    <w:pPr>
      <w:spacing w:before="0" w:after="200"/>
      <w:ind w:left="720" w:hanging="0"/>
      <w:contextualSpacing/>
    </w:pPr>
    <w:rPr/>
  </w:style>
  <w:style w:type="paragraph" w:styleId="NormalWeb">
    <w:name w:val="Normal (Web)"/>
    <w:basedOn w:val="Normal"/>
    <w:uiPriority w:val="99"/>
    <w:qFormat/>
    <w:rsid w:val="00071d19"/>
    <w:pPr>
      <w:spacing w:lineRule="auto" w:line="240" w:beforeAutospacing="1" w:afterAutospacing="1"/>
    </w:pPr>
    <w:rPr>
      <w:rFonts w:ascii="Times New Roman" w:hAnsi="Times New Roman"/>
      <w:sz w:val="24"/>
      <w:szCs w:val="24"/>
      <w:lang w:eastAsia="ru-RU"/>
    </w:rPr>
  </w:style>
  <w:style w:type="paragraph" w:styleId="13" w:customStyle="1">
    <w:name w:val="Абзац списка1"/>
    <w:basedOn w:val="Normal"/>
    <w:uiPriority w:val="99"/>
    <w:qFormat/>
    <w:rsid w:val="00071d19"/>
    <w:pPr>
      <w:spacing w:lineRule="auto" w:line="240" w:before="0" w:after="0"/>
      <w:ind w:left="720" w:hanging="0"/>
      <w:contextualSpacing/>
    </w:pPr>
    <w:rPr>
      <w:rFonts w:ascii="Times New Roman" w:hAnsi="Times New Roman"/>
      <w:sz w:val="24"/>
      <w:szCs w:val="24"/>
      <w:lang w:eastAsia="ru-RU"/>
    </w:rPr>
  </w:style>
  <w:style w:type="paragraph" w:styleId="Default" w:customStyle="1">
    <w:name w:val="Default"/>
    <w:uiPriority w:val="99"/>
    <w:qFormat/>
    <w:rsid w:val="009725de"/>
    <w:pPr>
      <w:widowControl/>
      <w:suppressAutoHyphens w:val="true"/>
      <w:bidi w:val="0"/>
      <w:spacing w:before="0" w:after="0"/>
      <w:jc w:val="left"/>
    </w:pPr>
    <w:rPr>
      <w:rFonts w:ascii="Arial" w:hAnsi="Arial" w:eastAsia="Calibri" w:cs="Arial"/>
      <w:color w:val="000000"/>
      <w:kern w:val="0"/>
      <w:sz w:val="24"/>
      <w:szCs w:val="24"/>
      <w:lang w:val="ru-RU" w:eastAsia="ru-RU" w:bidi="ar-SA"/>
    </w:rPr>
  </w:style>
  <w:style w:type="paragraph" w:styleId="BodyTextIndent2">
    <w:name w:val="Body Text Indent 2"/>
    <w:basedOn w:val="Normal"/>
    <w:link w:val="24"/>
    <w:uiPriority w:val="99"/>
    <w:semiHidden/>
    <w:unhideWhenUsed/>
    <w:qFormat/>
    <w:locked/>
    <w:rsid w:val="003e3ab5"/>
    <w:pPr>
      <w:spacing w:lineRule="auto" w:line="480" w:before="0" w:after="120"/>
      <w:ind w:left="283" w:hanging="0"/>
    </w:pPr>
    <w:rPr/>
  </w:style>
  <w:style w:type="paragraph" w:styleId="Style32">
    <w:name w:val="Содержимое врезки"/>
    <w:basedOn w:val="Normal"/>
    <w:qFormat/>
    <w:pPr/>
    <w:rPr/>
  </w:style>
  <w:style w:type="paragraph" w:styleId="Style33">
    <w:name w:val="Содержимое таблицы"/>
    <w:basedOn w:val="Normal"/>
    <w:qFormat/>
    <w:pPr>
      <w:widowControl w:val="false"/>
      <w:suppressLineNumbers/>
    </w:pPr>
    <w:rPr/>
  </w:style>
  <w:style w:type="paragraph" w:styleId="Style34">
    <w:name w:val="Заголовок таблицы"/>
    <w:basedOn w:val="Style33"/>
    <w:qFormat/>
    <w:pPr>
      <w:suppressLineNumbers/>
      <w:jc w:val="center"/>
    </w:pPr>
    <w:rPr>
      <w:b/>
      <w:bCs/>
    </w:rPr>
  </w:style>
  <w:style w:type="paragraph" w:styleId="Standard">
    <w:name w:val="Standard"/>
    <w:qFormat/>
    <w:pPr>
      <w:widowControl w:val="false"/>
      <w:suppressAutoHyphens w:val="true"/>
      <w:bidi w:val="0"/>
      <w:spacing w:before="0" w:after="0"/>
      <w:jc w:val="left"/>
      <w:textAlignment w:val="baseline"/>
    </w:pPr>
    <w:rPr>
      <w:rFonts w:ascii="Times New Roman" w:hAnsi="Times New Roman" w:eastAsia="Andale Sans UI;Arial Unicode MS" w:cs="Tahoma"/>
      <w:color w:val="auto"/>
      <w:kern w:val="2"/>
      <w:sz w:val="24"/>
      <w:szCs w:val="24"/>
      <w:lang w:val="de-DE" w:eastAsia="ja-JP" w:bidi="fa-IR"/>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3">
    <w:name w:val="Table Grid"/>
    <w:basedOn w:val="a1"/>
    <w:uiPriority w:val="99"/>
    <w:rsid w:val="000a060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E3EDB7CEB92463B1E9DB1B9C9F7AF8A6DA71CD9C8098D442B0C698A8b2R1L" TargetMode="External"/><Relationship Id="rId3" Type="http://schemas.openxmlformats.org/officeDocument/2006/relationships/hyperlink" Target="consultantplus://offline/ref=E3EDB7CEB92463B1E9DB1B9C9F7AF8A6DA71CD9C8198D442B0C698A8b2R1L" TargetMode="External"/><Relationship Id="rId4" Type="http://schemas.openxmlformats.org/officeDocument/2006/relationships/hyperlink" Target="consultantplus://offline/ref=E3EDB7CEB92463B1E9DB1B9C9F7AF8A6DA7FC5998298D442B0C698A8b2R1L" TargetMode="External"/><Relationship Id="rId5" Type="http://schemas.openxmlformats.org/officeDocument/2006/relationships/hyperlink" Target="consultantplus://offline/ref=E3EDB7CEB92463B1E9DB1B9C9F7AF8A6DA7FC5998998D442B0C698A8b2R1L" TargetMode="External"/><Relationship Id="rId6" Type="http://schemas.openxmlformats.org/officeDocument/2006/relationships/hyperlink" Target="consultantplus://offline/ref=E3EDB7CEB92463B1E9DB079C987AF8A6DE75C49E889A8948B89F94AA266F0C3906995B82FA89BD41b4R3L" TargetMode="External"/><Relationship Id="rId7" Type="http://schemas.openxmlformats.org/officeDocument/2006/relationships/hyperlink" Target="consultantplus://offline/ref=E3EDB7CEB92463B1E9DB079C987AF8A6DE75C49E889A8948B89F94AA266F0C3906995B82FA89BD41b4R1L" TargetMode="External"/><Relationship Id="rId8" Type="http://schemas.openxmlformats.org/officeDocument/2006/relationships/hyperlink" Target="consultantplus://offline/ref=E3EDB7CEB92463B1E9DB079C987AF8A6DE75C49E889A8948B89F94AA266F0C3906995B82FA89BD41b4R0L" TargetMode="External"/><Relationship Id="rId9" Type="http://schemas.openxmlformats.org/officeDocument/2006/relationships/hyperlink" Target="consultantplus://offline/ref=368714DAC92D6E7E836ECA0D7A1C2BBA1395AFE1FF32B892DF512CB0F6A66AE6FF9261FDEFA1FFAAYEG" TargetMode="External"/><Relationship Id="rId10" Type="http://schemas.openxmlformats.org/officeDocument/2006/relationships/hyperlink" Target="http://www.audar-info.ru/docs/lawbooks/?sectId=95319" TargetMode="External"/><Relationship Id="rId11" Type="http://schemas.openxmlformats.org/officeDocument/2006/relationships/hyperlink" Target="mailto:kinder157@yandex" TargetMode="External"/><Relationship Id="rId12" Type="http://schemas.openxmlformats.org/officeDocument/2006/relationships/hyperlink" Target="mailto:kinder157@yandex" TargetMode="External"/><Relationship Id="rId13" Type="http://schemas.openxmlformats.org/officeDocument/2006/relationships/hyperlink" Target="mailto:kinder157@yandex" TargetMode="External"/><Relationship Id="rId14" Type="http://schemas.openxmlformats.org/officeDocument/2006/relationships/hyperlink" Target="mailto:kinder157@yandex" TargetMode="External"/><Relationship Id="rId15" Type="http://schemas.openxmlformats.org/officeDocument/2006/relationships/hyperlink" Target="mailto:kinder157@yandex" TargetMode="External"/><Relationship Id="rId16" Type="http://schemas.openxmlformats.org/officeDocument/2006/relationships/hyperlink" Target="mailto:kinder157@yandex" TargetMode="External"/><Relationship Id="rId17" Type="http://schemas.openxmlformats.org/officeDocument/2006/relationships/hyperlink" Target="mailto:kinder157@yandex" TargetMode="External"/><Relationship Id="rId18" Type="http://schemas.openxmlformats.org/officeDocument/2006/relationships/hyperlink" Target="mailto:kinder157@yandex" TargetMode="External"/><Relationship Id="rId19" Type="http://schemas.openxmlformats.org/officeDocument/2006/relationships/hyperlink" Target="mailto:kinder157@yandex" TargetMode="External"/><Relationship Id="rId20" Type="http://schemas.openxmlformats.org/officeDocument/2006/relationships/hyperlink" Target="mailto:kinder157@yandex" TargetMode="External"/><Relationship Id="rId21" Type="http://schemas.openxmlformats.org/officeDocument/2006/relationships/hyperlink" Target="mailto:kinder157@yandex" TargetMode="External"/><Relationship Id="rId22" Type="http://schemas.openxmlformats.org/officeDocument/2006/relationships/hyperlink" Target="mailto:kinder157@yandex" TargetMode="External"/><Relationship Id="rId23" Type="http://schemas.openxmlformats.org/officeDocument/2006/relationships/footer" Target="footer1.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848</TotalTime>
  <Application>LibreOffice/7.0.4.2$Windows_X86_64 LibreOffice_project/dcf040e67528d9187c66b2379df5ea4407429775</Application>
  <AppVersion>15.0000</AppVersion>
  <Pages>45</Pages>
  <Words>13635</Words>
  <Characters>93945</Characters>
  <CharactersWithSpaces>106585</CharactersWithSpaces>
  <Paragraphs>1876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2020-04-17T16:12:00Z</dcterms:created>
  <dc:creator>Татьяна</dc:creator>
  <dc:description/>
  <dc:language>ru-RU</dc:language>
  <cp:lastModifiedBy/>
  <cp:lastPrinted>2022-03-13T14:49:33Z</cp:lastPrinted>
  <dcterms:modified xsi:type="dcterms:W3CDTF">2022-04-01T11:26:26Z</dcterms:modified>
  <cp:revision>56</cp:revision>
  <dc:subject/>
  <dc:title/>
</cp:coreProperties>
</file>

<file path=docProps/custom.xml><?xml version="1.0" encoding="utf-8"?>
<Properties xmlns="http://schemas.openxmlformats.org/officeDocument/2006/custom-properties" xmlns:vt="http://schemas.openxmlformats.org/officeDocument/2006/docPropsVTypes"/>
</file>